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2F59" w:rsidRPr="00AC7171" w:rsidRDefault="007E2F59" w:rsidP="007E2F59">
      <w:pPr>
        <w:jc w:val="center"/>
        <w:rPr>
          <w:b/>
          <w:sz w:val="28"/>
          <w:szCs w:val="28"/>
        </w:rPr>
      </w:pPr>
      <w:r w:rsidRPr="00AC7171">
        <w:rPr>
          <w:b/>
          <w:sz w:val="28"/>
          <w:szCs w:val="28"/>
        </w:rPr>
        <w:t xml:space="preserve">Příloha č. </w:t>
      </w:r>
      <w:r w:rsidR="005912A4">
        <w:rPr>
          <w:b/>
          <w:sz w:val="28"/>
          <w:szCs w:val="28"/>
        </w:rPr>
        <w:t>2</w:t>
      </w:r>
    </w:p>
    <w:p w:rsidR="007E2F59" w:rsidRPr="00AC7171" w:rsidRDefault="007E2F59" w:rsidP="007E2F59">
      <w:pPr>
        <w:jc w:val="center"/>
        <w:rPr>
          <w:u w:val="single"/>
        </w:rPr>
      </w:pPr>
      <w:r w:rsidRPr="00AC7171">
        <w:rPr>
          <w:u w:val="single"/>
        </w:rPr>
        <w:t>Další povinnosti TDI</w:t>
      </w:r>
    </w:p>
    <w:p w:rsidR="007E2F59" w:rsidRPr="003C06B2" w:rsidRDefault="007E2F59" w:rsidP="007E2F59">
      <w:pPr>
        <w:spacing w:before="0" w:after="0"/>
      </w:pPr>
    </w:p>
    <w:p w:rsidR="007E2F59" w:rsidRPr="006B212B" w:rsidRDefault="007E2F59" w:rsidP="007E2F59">
      <w:pPr>
        <w:pStyle w:val="Odstavecseseznamem"/>
        <w:numPr>
          <w:ilvl w:val="0"/>
          <w:numId w:val="4"/>
        </w:numPr>
        <w:ind w:left="567" w:hanging="567"/>
        <w:contextualSpacing w:val="0"/>
      </w:pPr>
      <w:r>
        <w:t xml:space="preserve">Technický dozor </w:t>
      </w:r>
      <w:r w:rsidRPr="003C06B2">
        <w:t xml:space="preserve">bere na vědomí, že </w:t>
      </w:r>
      <w:r>
        <w:t xml:space="preserve">Objednatel hodlá na úhradu ceny stavebních prací v rámci projektu </w:t>
      </w:r>
      <w:r w:rsidRPr="003C06B2">
        <w:t xml:space="preserve">dle </w:t>
      </w:r>
      <w:r>
        <w:t>článku</w:t>
      </w:r>
      <w:r w:rsidRPr="003C06B2">
        <w:t xml:space="preserve"> </w:t>
      </w:r>
      <w:r>
        <w:t>2</w:t>
      </w:r>
      <w:r w:rsidRPr="003C06B2">
        <w:t>.1</w:t>
      </w:r>
      <w:r>
        <w:t xml:space="preserve"> </w:t>
      </w:r>
      <w:r w:rsidRPr="003C06B2">
        <w:t>této Smlouvy</w:t>
      </w:r>
      <w:r>
        <w:t xml:space="preserve"> (tedy stavby „</w:t>
      </w:r>
      <w:r w:rsidR="00081525" w:rsidRPr="0082538D">
        <w:rPr>
          <w:bCs/>
          <w:i/>
          <w:sz w:val="24"/>
        </w:rPr>
        <w:t>Stavební úpravy stávající stavby obslužné plochy</w:t>
      </w:r>
      <w:r w:rsidRPr="00953E93">
        <w:rPr>
          <w:i/>
        </w:rPr>
        <w:t>“</w:t>
      </w:r>
      <w:r w:rsidRPr="007E2F59">
        <w:t>)</w:t>
      </w:r>
      <w:r>
        <w:t>, jakož i na úhradu ceny za poskytnutí činnosti TDI dle této Smlouvy</w:t>
      </w:r>
      <w:r w:rsidRPr="003C06B2">
        <w:t xml:space="preserve"> využít též veřejné prostředky, zejména pak finanční prostředky Evropské unie, k čemuž Objednatel uzavřel s Výkonnou agenturou pro inovace a sítě („</w:t>
      </w:r>
      <w:r w:rsidRPr="00F86C1B">
        <w:rPr>
          <w:b/>
        </w:rPr>
        <w:t>Agentura</w:t>
      </w:r>
      <w:r w:rsidRPr="003C06B2">
        <w:t>“) grantovou dohodu INEA/CEF/TRAN/M2015/1138714 („</w:t>
      </w:r>
      <w:r w:rsidRPr="00F86C1B">
        <w:rPr>
          <w:b/>
        </w:rPr>
        <w:t>Grantová dohoda</w:t>
      </w:r>
      <w:r w:rsidRPr="003C06B2">
        <w:t>“). Předmětem Grantové dohody je za podmínek v</w:t>
      </w:r>
      <w:r w:rsidRPr="006B212B">
        <w:t> </w:t>
      </w:r>
      <w:r w:rsidRPr="003C06B2">
        <w:t>ní stanovených spolufinancování projek</w:t>
      </w:r>
      <w:r>
        <w:t>t</w:t>
      </w:r>
      <w:r w:rsidRPr="003C06B2">
        <w:t xml:space="preserve">u s názvem </w:t>
      </w:r>
      <w:r w:rsidRPr="006B212B">
        <w:t>„</w:t>
      </w:r>
      <w:proofErr w:type="spellStart"/>
      <w:r w:rsidRPr="003C06B2">
        <w:t>Intermodal</w:t>
      </w:r>
      <w:proofErr w:type="spellEnd"/>
      <w:r w:rsidRPr="003C06B2">
        <w:t xml:space="preserve"> Terminal </w:t>
      </w:r>
      <w:proofErr w:type="spellStart"/>
      <w:r w:rsidRPr="003C06B2">
        <w:t>Melnik</w:t>
      </w:r>
      <w:proofErr w:type="spellEnd"/>
      <w:r w:rsidRPr="003C06B2">
        <w:t xml:space="preserve">, </w:t>
      </w:r>
      <w:proofErr w:type="spellStart"/>
      <w:r w:rsidRPr="003C06B2">
        <w:t>Phase</w:t>
      </w:r>
      <w:proofErr w:type="spellEnd"/>
      <w:r w:rsidRPr="003C06B2">
        <w:t xml:space="preserve"> 2. and 3.“ („</w:t>
      </w:r>
      <w:r w:rsidR="006302CB">
        <w:rPr>
          <w:b/>
        </w:rPr>
        <w:t>Projekt</w:t>
      </w:r>
      <w:r>
        <w:t>“), jehož je výše uvedený projekt</w:t>
      </w:r>
      <w:r w:rsidR="00627485">
        <w:t>, tedy stavba „</w:t>
      </w:r>
      <w:r w:rsidR="00081525" w:rsidRPr="0082538D">
        <w:rPr>
          <w:bCs/>
          <w:i/>
          <w:sz w:val="24"/>
        </w:rPr>
        <w:t>Stavební úpravy stávající stavby obslužné plochy</w:t>
      </w:r>
      <w:r w:rsidR="005912A4">
        <w:rPr>
          <w:i/>
        </w:rPr>
        <w:t>“</w:t>
      </w:r>
      <w:r w:rsidR="00627485" w:rsidRPr="00953E93">
        <w:rPr>
          <w:i/>
        </w:rPr>
        <w:t>.</w:t>
      </w:r>
      <w:r w:rsidR="00627485">
        <w:rPr>
          <w:i/>
        </w:rPr>
        <w:t xml:space="preserve">, </w:t>
      </w:r>
      <w:r w:rsidRPr="003C06B2">
        <w:t>součástí.</w:t>
      </w:r>
    </w:p>
    <w:p w:rsidR="007E2F59" w:rsidRPr="003C06B2" w:rsidRDefault="007E2F59" w:rsidP="007E2F59">
      <w:pPr>
        <w:pStyle w:val="Odstavecseseznamem"/>
        <w:numPr>
          <w:ilvl w:val="0"/>
          <w:numId w:val="4"/>
        </w:numPr>
        <w:ind w:left="567" w:hanging="567"/>
        <w:contextualSpacing w:val="0"/>
      </w:pPr>
      <w:r>
        <w:t>Technický dozor</w:t>
      </w:r>
      <w:r w:rsidRPr="003C06B2">
        <w:t xml:space="preserve"> je s ohledem na výše uvedené povinen spolupůsobit při výkonu finanční kontroly dle zákona č. 320/2001 Sb., o finanční kontrole, ve znění pozdějších předpisů („</w:t>
      </w:r>
      <w:r w:rsidRPr="00F86C1B">
        <w:rPr>
          <w:b/>
        </w:rPr>
        <w:t>zákon o finanční kontrole</w:t>
      </w:r>
      <w:r w:rsidRPr="003C06B2">
        <w:t>“) a umožní poskytovateli dotace, Č</w:t>
      </w:r>
      <w:r w:rsidRPr="006B212B">
        <w:t xml:space="preserve">eské republice - </w:t>
      </w:r>
      <w:r w:rsidRPr="003C06B2">
        <w:t>Ministerstvu dopravy, České republice - Ministerstvu financí, auditnímu orgánu, Evropské komisi, Evropskému účetnímu dvoru, Nejvyššímu kontrolnímu úřadu, příslušnému finančnímu úřadu a dalším kontrolním orgánům přístup do objektů a</w:t>
      </w:r>
      <w:r>
        <w:t xml:space="preserve"> na pozemky dotčené stavb</w:t>
      </w:r>
      <w:r w:rsidR="006302CB">
        <w:t>ou projektu</w:t>
      </w:r>
      <w:r w:rsidRPr="003C06B2">
        <w:t xml:space="preserve"> a jeho realizací</w:t>
      </w:r>
      <w:r w:rsidR="00627485">
        <w:t xml:space="preserve"> či dotčených činností TDI</w:t>
      </w:r>
      <w:r w:rsidRPr="003C06B2">
        <w:t xml:space="preserve"> a umožní provést kontrolu dokla</w:t>
      </w:r>
      <w:r>
        <w:t>dů souvisejících se stavbou projektu</w:t>
      </w:r>
      <w:r w:rsidR="00627485">
        <w:t xml:space="preserve"> a činnosti TDI</w:t>
      </w:r>
      <w:r w:rsidR="006302CB">
        <w:t xml:space="preserve"> dle této Smlouvy</w:t>
      </w:r>
      <w:r w:rsidRPr="003C06B2">
        <w:t xml:space="preserve"> včetně dokladů souvisejících s příslušným zadávacím řízením, jejichž výsledkem je uzavření této Smlouvy.</w:t>
      </w:r>
    </w:p>
    <w:p w:rsidR="007E2F59" w:rsidRPr="00F86C1B" w:rsidRDefault="007E2F59" w:rsidP="007E2F59">
      <w:pPr>
        <w:pStyle w:val="Odstavecseseznamem"/>
        <w:numPr>
          <w:ilvl w:val="0"/>
          <w:numId w:val="4"/>
        </w:numPr>
        <w:ind w:left="567" w:hanging="567"/>
        <w:contextualSpacing w:val="0"/>
      </w:pPr>
      <w:r>
        <w:t xml:space="preserve">Technický dozor </w:t>
      </w:r>
      <w:r w:rsidRPr="00E63306">
        <w:t>je dále povinen uchovávat veškeré dokl</w:t>
      </w:r>
      <w:r w:rsidR="006302CB">
        <w:t xml:space="preserve">ady související s výkonem činností dle této Smlouvy </w:t>
      </w:r>
      <w:r w:rsidRPr="00E63306">
        <w:t>(způsobem dle zákona 563/1991 Sb., o účetnictví, ve znění pozdějších předpisů) po dobu nejméně 10 let ode dne poslední platby za provedené práce, přičemž běh lhůty se začne počítat od 1. ledna následujícího kalendářního roku poté, kdy byla provedena poslední platba za provedené práce. Pokud pro vybrané dokumenty a doklady stanoví předpisy České republiky lhůtu delší než 10 let, bude postupováno podle platných národních předpisů.</w:t>
      </w:r>
    </w:p>
    <w:p w:rsidR="007E2F59" w:rsidRPr="003C06B2" w:rsidRDefault="006302CB" w:rsidP="007E2F59">
      <w:pPr>
        <w:pStyle w:val="Odstavecseseznamem"/>
        <w:numPr>
          <w:ilvl w:val="0"/>
          <w:numId w:val="4"/>
        </w:numPr>
        <w:ind w:left="567" w:hanging="567"/>
        <w:contextualSpacing w:val="0"/>
      </w:pPr>
      <w:r>
        <w:t>Technický dozor</w:t>
      </w:r>
      <w:r w:rsidR="007E2F59" w:rsidRPr="003C06B2">
        <w:t xml:space="preserve"> dále bere na vědomí, že Grantová dohoda požaduje, aby ustanovení článku II.3, II.4, II.5, II.8 a II.27 </w:t>
      </w:r>
      <w:r w:rsidR="00627485">
        <w:t xml:space="preserve">Obecných podmínek </w:t>
      </w:r>
      <w:r w:rsidR="007E2F59" w:rsidRPr="003C06B2">
        <w:t>Grantové dohody byla přímo aplikovatelná i na dodavat</w:t>
      </w:r>
      <w:r w:rsidR="00627485">
        <w:t>ele, který pro Objednatele bude vykonávat činnosti</w:t>
      </w:r>
      <w:r w:rsidR="007E2F59" w:rsidRPr="003C06B2">
        <w:t xml:space="preserve"> dle této Smlouvy.</w:t>
      </w:r>
    </w:p>
    <w:p w:rsidR="007E2F59" w:rsidRPr="003C06B2" w:rsidRDefault="006302CB" w:rsidP="007E2F59">
      <w:pPr>
        <w:pStyle w:val="Odstavecseseznamem"/>
        <w:numPr>
          <w:ilvl w:val="0"/>
          <w:numId w:val="4"/>
        </w:numPr>
        <w:ind w:left="567" w:hanging="567"/>
        <w:contextualSpacing w:val="0"/>
      </w:pPr>
      <w:r>
        <w:t xml:space="preserve">Technický dozor </w:t>
      </w:r>
      <w:r w:rsidR="007E2F59" w:rsidRPr="003C06B2">
        <w:t xml:space="preserve">se tímto zavazuje plnit povinnosti vyplývající pro příjemce z ustanovení článku II.3, II.4, II.5, II.8 a II.27 </w:t>
      </w:r>
      <w:r w:rsidR="00627485">
        <w:t xml:space="preserve">Obecných podmínek </w:t>
      </w:r>
      <w:r w:rsidR="007E2F59" w:rsidRPr="003C06B2">
        <w:t>Grantové dohody tak, jak jsou tato ustanovení citována níže.</w:t>
      </w:r>
    </w:p>
    <w:p w:rsidR="007E2F59" w:rsidRDefault="006302CB" w:rsidP="007E2F59">
      <w:pPr>
        <w:pStyle w:val="Odstavecseseznamem"/>
        <w:numPr>
          <w:ilvl w:val="0"/>
          <w:numId w:val="4"/>
        </w:numPr>
        <w:ind w:left="567" w:hanging="567"/>
        <w:contextualSpacing w:val="0"/>
      </w:pPr>
      <w:r>
        <w:t>Technický dozor</w:t>
      </w:r>
      <w:r w:rsidR="007E2F59" w:rsidRPr="003C06B2">
        <w:t xml:space="preserve"> je povinen zajistit, že ustanovení  II.3, II.4, II.5, </w:t>
      </w:r>
      <w:proofErr w:type="gramStart"/>
      <w:r w:rsidR="007E2F59" w:rsidRPr="003C06B2">
        <w:t xml:space="preserve">II.8 </w:t>
      </w:r>
      <w:r w:rsidR="00627485">
        <w:t>Obecných</w:t>
      </w:r>
      <w:proofErr w:type="gramEnd"/>
      <w:r w:rsidR="00627485">
        <w:t xml:space="preserve"> podmínek </w:t>
      </w:r>
      <w:r w:rsidR="007E2F59" w:rsidRPr="003C06B2">
        <w:t xml:space="preserve">Grantové dohody tak, jak jsou tato ustanovení citována níže, budou aplikovatelná i na </w:t>
      </w:r>
      <w:r>
        <w:t>případného p</w:t>
      </w:r>
      <w:r w:rsidR="007E2F59" w:rsidRPr="003C06B2">
        <w:t>oddo</w:t>
      </w:r>
      <w:r>
        <w:t>davatele</w:t>
      </w:r>
      <w:r w:rsidR="007E2F59" w:rsidRPr="003C06B2">
        <w:t xml:space="preserve">. </w:t>
      </w:r>
      <w:r>
        <w:t xml:space="preserve">Technický dozor </w:t>
      </w:r>
      <w:r w:rsidR="007E2F59" w:rsidRPr="003C06B2">
        <w:t>je dále povinen zajistit, že veškerá případná písemná</w:t>
      </w:r>
      <w:r w:rsidR="004530E0">
        <w:t xml:space="preserve"> komunikace mezi </w:t>
      </w:r>
      <w:r w:rsidR="007E2F59" w:rsidRPr="003C06B2">
        <w:t>Objednatelem</w:t>
      </w:r>
      <w:r w:rsidR="00627485">
        <w:t xml:space="preserve"> a TDI, případně TDI či Objednatelem</w:t>
      </w:r>
      <w:r w:rsidR="007E2F59" w:rsidRPr="003C06B2">
        <w:t xml:space="preserve"> </w:t>
      </w:r>
      <w:r>
        <w:t>a případným poddodavatelem vztahující se k provádění činnosti dle této Smlouvy</w:t>
      </w:r>
      <w:r w:rsidR="007E2F59" w:rsidRPr="003C06B2">
        <w:t xml:space="preserve"> bude označena logem Evro</w:t>
      </w:r>
      <w:r>
        <w:t>pské unie a dovětkem, že činnost dle této Smlouvy je spolufinancována</w:t>
      </w:r>
      <w:r w:rsidR="007E2F59" w:rsidRPr="003C06B2">
        <w:t xml:space="preserve"> z finančních pros</w:t>
      </w:r>
      <w:r>
        <w:t>tředků Evropské unie. Technický dozor</w:t>
      </w:r>
      <w:r w:rsidR="007E2F59" w:rsidRPr="003C06B2">
        <w:t xml:space="preserve"> je dále povinen</w:t>
      </w:r>
      <w:r>
        <w:t xml:space="preserve"> zajistit</w:t>
      </w:r>
      <w:r w:rsidR="007E2F59" w:rsidRPr="003C06B2">
        <w:t>, že jakákoliv smlouva</w:t>
      </w:r>
      <w:r w:rsidR="007E2F59">
        <w:t xml:space="preserve"> (případně i jednostranný písemný závazek poddodavat</w:t>
      </w:r>
      <w:r>
        <w:t>ele k plnění části předmětu této Smlouvy</w:t>
      </w:r>
      <w:r w:rsidR="007E2F59">
        <w:t>)</w:t>
      </w:r>
      <w:r>
        <w:t xml:space="preserve"> uzavřená mezi Technickým dozorem</w:t>
      </w:r>
      <w:r w:rsidR="007E2F59" w:rsidRPr="003C06B2">
        <w:t xml:space="preserve"> a </w:t>
      </w:r>
      <w:r>
        <w:t xml:space="preserve">jeho </w:t>
      </w:r>
      <w:r w:rsidR="007E2F59" w:rsidRPr="003C06B2">
        <w:t>dodavatelem za účelem provádění části</w:t>
      </w:r>
      <w:r>
        <w:t xml:space="preserve"> činností dle této Smlouvy takovým p</w:t>
      </w:r>
      <w:r w:rsidR="007E2F59" w:rsidRPr="003C06B2">
        <w:t>oddodavat</w:t>
      </w:r>
      <w:r>
        <w:t>elem bude obsahovat prohlášení p</w:t>
      </w:r>
      <w:r w:rsidR="007E2F59" w:rsidRPr="003C06B2">
        <w:t>oddodavatele, že tento neuplatňuje vůči Agentuře podle Grantové dohody žádná práva.</w:t>
      </w:r>
      <w:r>
        <w:t xml:space="preserve"> Technický dozor</w:t>
      </w:r>
      <w:r w:rsidR="007E2F59">
        <w:t xml:space="preserve"> je dále povinen zajistit (aniž by tím byla jakkoli dotčena první věta tohoto článku)</w:t>
      </w:r>
      <w:r>
        <w:t>, že na p</w:t>
      </w:r>
      <w:r w:rsidR="007E2F59">
        <w:t xml:space="preserve">oddodavatele bude aplikovatelné i ustanovení článku II.7 Grantové dohody tak, jak je toto ustanovení citováno níže: </w:t>
      </w:r>
    </w:p>
    <w:p w:rsidR="007E2F59" w:rsidRPr="006D1771" w:rsidRDefault="007E2F59" w:rsidP="007E2F59">
      <w:pPr>
        <w:ind w:firstLine="567"/>
        <w:rPr>
          <w:i/>
        </w:rPr>
      </w:pPr>
      <w:r w:rsidRPr="006D1771">
        <w:rPr>
          <w:i/>
        </w:rPr>
        <w:lastRenderedPageBreak/>
        <w:t>Článek II.7 – Zviditelnění financování Evropskou Unií</w:t>
      </w:r>
      <w:r>
        <w:rPr>
          <w:rStyle w:val="Znakapoznpodarou"/>
          <w:i/>
        </w:rPr>
        <w:footnoteReference w:id="1"/>
      </w:r>
    </w:p>
    <w:p w:rsidR="007E2F59" w:rsidRDefault="007E2F59" w:rsidP="007E2F59">
      <w:pPr>
        <w:ind w:left="720" w:hanging="153"/>
        <w:rPr>
          <w:i/>
        </w:rPr>
      </w:pPr>
      <w:r w:rsidRPr="006D1771">
        <w:rPr>
          <w:i/>
        </w:rPr>
        <w:t>II.7.1 -  Informace o financování z prostředků Evropské unie a užívání znaku Evropské unie</w:t>
      </w:r>
    </w:p>
    <w:p w:rsidR="007E2F59" w:rsidRPr="006D1771" w:rsidRDefault="007E2F59" w:rsidP="007E2F59">
      <w:pPr>
        <w:ind w:left="1276"/>
        <w:rPr>
          <w:i/>
        </w:rPr>
      </w:pPr>
      <w:r w:rsidRPr="006D1771">
        <w:rPr>
          <w:i/>
        </w:rPr>
        <w:t>Pokud Agentura nepožaduje jinak či není jinak ujednáno, veškerá sdělení nebo publikace související s tímto Projektem, které společně nebo jednotlivě provedly příjemci, a to i na konferencích, seminářích nebo v jakýchkoli informačních či propagačních materiálech (brožury, let</w:t>
      </w:r>
      <w:r w:rsidRPr="00DF0F7B">
        <w:rPr>
          <w:i/>
        </w:rPr>
        <w:t>áky, plakáty, prezentace atd</w:t>
      </w:r>
      <w:r>
        <w:rPr>
          <w:i/>
        </w:rPr>
        <w:t>.)</w:t>
      </w:r>
      <w:r w:rsidRPr="006D1771">
        <w:rPr>
          <w:i/>
        </w:rPr>
        <w:t xml:space="preserve"> musí uvádět, že Projekt je financován z finančních prostředků Evropské unie a zobrazovat znak Evropské unie.</w:t>
      </w:r>
    </w:p>
    <w:p w:rsidR="007E2F59" w:rsidRPr="006D1771" w:rsidRDefault="007E2F59" w:rsidP="007E2F59">
      <w:pPr>
        <w:ind w:left="1276"/>
        <w:rPr>
          <w:i/>
        </w:rPr>
      </w:pPr>
      <w:r w:rsidRPr="006D1771">
        <w:rPr>
          <w:i/>
        </w:rPr>
        <w:t>Je-li vedle znaku Evropské unie zobrazeno další logo, musí být znak Evropské unie dostatečně výrazný.</w:t>
      </w:r>
    </w:p>
    <w:p w:rsidR="007E2F59" w:rsidRPr="006D1771" w:rsidRDefault="007E2F59" w:rsidP="007E2F59">
      <w:pPr>
        <w:ind w:left="1276"/>
        <w:rPr>
          <w:i/>
        </w:rPr>
      </w:pPr>
      <w:r w:rsidRPr="006D1771">
        <w:rPr>
          <w:i/>
        </w:rPr>
        <w:t>Povinnost zobrazovat znak Evropské unie nezakládá příjemcům právo na jeho výlučné užívání. Příjemci si nesmějí znak Evropské unie ani žádnou obdobnou ochrannou známku nebo logo registrovat nebo jiným způsobem přivlastnit.</w:t>
      </w:r>
    </w:p>
    <w:p w:rsidR="007E2F59" w:rsidRPr="006D1771" w:rsidRDefault="007E2F59" w:rsidP="007E2F59">
      <w:pPr>
        <w:ind w:left="1276"/>
        <w:rPr>
          <w:i/>
        </w:rPr>
      </w:pPr>
      <w:r w:rsidRPr="006D1771">
        <w:rPr>
          <w:i/>
        </w:rPr>
        <w:t xml:space="preserve">Pro účely splnění svých povinností podle předchozích odstavců tohoto článku, jsou příjemci vyňati z povinnosti získat předchozí souhlas Agentury k užití znaku Evropské unie.   </w:t>
      </w:r>
    </w:p>
    <w:p w:rsidR="007E2F59" w:rsidRPr="006D1771" w:rsidRDefault="007E2F59" w:rsidP="007E2F59">
      <w:pPr>
        <w:ind w:left="720" w:hanging="153"/>
        <w:rPr>
          <w:i/>
        </w:rPr>
      </w:pPr>
      <w:r w:rsidRPr="006D1771">
        <w:rPr>
          <w:i/>
        </w:rPr>
        <w:t>II.7.2 – Vyloučení odpovědnosti Agentury</w:t>
      </w:r>
    </w:p>
    <w:p w:rsidR="007E2F59" w:rsidRPr="006D1771" w:rsidRDefault="007E2F59" w:rsidP="007E2F59">
      <w:pPr>
        <w:ind w:left="1276"/>
        <w:rPr>
          <w:i/>
        </w:rPr>
      </w:pPr>
      <w:r w:rsidRPr="006D1771">
        <w:rPr>
          <w:i/>
        </w:rPr>
        <w:t>Veškerá sdělení nebo publikace související s tímto Projektem, které společně nebo jednotlivě provedly příjemci, a to v jakékoliv formě a jakýmikoliv prostředky, musí uvádět, že tato odráží výhradně názor autora a že Agentura nenese odpovědnost za případné použití informace v takovém sdělení nebo publikaci obsažené.</w:t>
      </w:r>
    </w:p>
    <w:p w:rsidR="007E2F59" w:rsidRPr="003C06B2" w:rsidRDefault="006302CB" w:rsidP="007E2F59">
      <w:pPr>
        <w:pStyle w:val="Odstavecseseznamem"/>
        <w:numPr>
          <w:ilvl w:val="0"/>
          <w:numId w:val="4"/>
        </w:numPr>
        <w:ind w:left="567" w:hanging="567"/>
        <w:contextualSpacing w:val="0"/>
      </w:pPr>
      <w:r>
        <w:t>Technický dozor</w:t>
      </w:r>
      <w:r w:rsidR="007E2F59" w:rsidRPr="003C06B2">
        <w:t xml:space="preserve"> tímto zároveň prohlašuje, že vůči Agentuře podle Grantové dohody žádná práva neuplatňuje ani nemá právo uplatnit jakákoliv práva.   </w:t>
      </w:r>
    </w:p>
    <w:p w:rsidR="007E2F59" w:rsidRPr="003C06B2" w:rsidRDefault="007E2F59" w:rsidP="007E2F59">
      <w:pPr>
        <w:pStyle w:val="Odstavecseseznamem"/>
        <w:numPr>
          <w:ilvl w:val="0"/>
          <w:numId w:val="4"/>
        </w:numPr>
        <w:ind w:left="567" w:hanging="567"/>
        <w:contextualSpacing w:val="0"/>
      </w:pPr>
      <w:r w:rsidRPr="003C06B2">
        <w:t>Pro vyloučení jakýchkoliv pochybností Objednatel uvádí, že:</w:t>
      </w:r>
    </w:p>
    <w:p w:rsidR="007E2F59" w:rsidRPr="003C06B2" w:rsidRDefault="007E2F59" w:rsidP="007E2F59">
      <w:pPr>
        <w:pStyle w:val="Odstavecseseznamem"/>
        <w:numPr>
          <w:ilvl w:val="0"/>
          <w:numId w:val="6"/>
        </w:numPr>
        <w:contextualSpacing w:val="0"/>
      </w:pPr>
      <w:r w:rsidRPr="003C06B2">
        <w:t xml:space="preserve">pojmem Projekt se v této </w:t>
      </w:r>
      <w:r w:rsidRPr="003C06B2">
        <w:rPr>
          <w:u w:val="single"/>
        </w:rPr>
        <w:t xml:space="preserve">Příloze č. </w:t>
      </w:r>
      <w:r w:rsidR="006302CB">
        <w:rPr>
          <w:u w:val="single"/>
        </w:rPr>
        <w:t>4</w:t>
      </w:r>
      <w:r w:rsidRPr="003C06B2">
        <w:rPr>
          <w:u w:val="single"/>
        </w:rPr>
        <w:t xml:space="preserve"> Smlouvy </w:t>
      </w:r>
      <w:r w:rsidRPr="003C06B2">
        <w:t xml:space="preserve">rozumí projekt dle Grantové dohody tak, jak je tento definován v článku 1 této </w:t>
      </w:r>
      <w:r w:rsidRPr="00F86C1B">
        <w:rPr>
          <w:u w:val="single"/>
        </w:rPr>
        <w:t xml:space="preserve">Přílohy č. </w:t>
      </w:r>
      <w:r w:rsidR="006302CB">
        <w:rPr>
          <w:u w:val="single"/>
        </w:rPr>
        <w:t>4</w:t>
      </w:r>
      <w:r>
        <w:rPr>
          <w:u w:val="single"/>
        </w:rPr>
        <w:t xml:space="preserve"> Smlouvy</w:t>
      </w:r>
      <w:r w:rsidRPr="003C06B2">
        <w:t>;</w:t>
      </w:r>
    </w:p>
    <w:p w:rsidR="007E2F59" w:rsidRPr="003C06B2" w:rsidRDefault="007E2F59" w:rsidP="007E2F59">
      <w:pPr>
        <w:pStyle w:val="Odstavecseseznamem"/>
        <w:numPr>
          <w:ilvl w:val="0"/>
          <w:numId w:val="6"/>
        </w:numPr>
        <w:contextualSpacing w:val="0"/>
      </w:pPr>
      <w:r w:rsidRPr="003C06B2">
        <w:t xml:space="preserve">pokud je ustanovením </w:t>
      </w:r>
      <w:r w:rsidRPr="006B212B">
        <w:t>níže uvedených člán</w:t>
      </w:r>
      <w:r w:rsidRPr="003C06B2">
        <w:t>ků II.3, II.4, II.5, II.8 a II.27 Grantové dohody stanovena příjemci či příjemcům určitá povinnost ve vztahu k Projektu, uplatní se t</w:t>
      </w:r>
      <w:r w:rsidR="006302CB">
        <w:t>ato povinnost i vůči Technickému dozoru</w:t>
      </w:r>
      <w:r w:rsidRPr="003C06B2">
        <w:t>, pouze však v rozs</w:t>
      </w:r>
      <w:r w:rsidR="006302CB">
        <w:t xml:space="preserve">ahu jím prováděných </w:t>
      </w:r>
      <w:proofErr w:type="spellStart"/>
      <w:r w:rsidR="006302CB">
        <w:t>činnností</w:t>
      </w:r>
      <w:proofErr w:type="spellEnd"/>
      <w:r w:rsidRPr="003C06B2">
        <w:t xml:space="preserve"> dle této Smlouvy (tj. nikoli ve vztahu k celému Projektu ve smyslu článku 1. </w:t>
      </w:r>
      <w:r w:rsidRPr="006D1771">
        <w:rPr>
          <w:u w:val="single"/>
        </w:rPr>
        <w:t xml:space="preserve">Přílohy č. </w:t>
      </w:r>
      <w:r w:rsidR="006302CB">
        <w:rPr>
          <w:u w:val="single"/>
        </w:rPr>
        <w:t>4</w:t>
      </w:r>
      <w:r w:rsidRPr="006D1771">
        <w:rPr>
          <w:u w:val="single"/>
        </w:rPr>
        <w:t xml:space="preserve"> Smlouvy</w:t>
      </w:r>
      <w:r w:rsidRPr="003C06B2">
        <w:t>)</w:t>
      </w:r>
      <w:r>
        <w:rPr>
          <w:rStyle w:val="Znakapoznpodarou"/>
        </w:rPr>
        <w:footnoteReference w:id="2"/>
      </w:r>
      <w:r w:rsidRPr="003C06B2">
        <w:t xml:space="preserve">. </w:t>
      </w:r>
    </w:p>
    <w:p w:rsidR="007E2F59" w:rsidRPr="003C06B2" w:rsidRDefault="007E2F59" w:rsidP="007E2F59"/>
    <w:p w:rsidR="007E2F59" w:rsidRPr="003C06B2" w:rsidRDefault="007E2F59" w:rsidP="007E2F59">
      <w:pPr>
        <w:rPr>
          <w:i/>
        </w:rPr>
      </w:pPr>
      <w:r w:rsidRPr="00F86C1B">
        <w:rPr>
          <w:u w:val="single"/>
        </w:rPr>
        <w:t xml:space="preserve">Ustanovení Grantové dohody </w:t>
      </w:r>
      <w:r w:rsidR="006302CB">
        <w:rPr>
          <w:u w:val="single"/>
        </w:rPr>
        <w:t>aplikovatelná na Technický dozor</w:t>
      </w:r>
      <w:r w:rsidRPr="00F86C1B">
        <w:rPr>
          <w:u w:val="single"/>
        </w:rPr>
        <w:t>:</w:t>
      </w:r>
    </w:p>
    <w:p w:rsidR="007E2F59" w:rsidRPr="00F86C1B" w:rsidRDefault="007E2F59" w:rsidP="007E2F59">
      <w:pPr>
        <w:rPr>
          <w:i/>
        </w:rPr>
      </w:pPr>
      <w:r w:rsidRPr="00F86C1B">
        <w:rPr>
          <w:i/>
        </w:rPr>
        <w:t>Článek II. 3</w:t>
      </w:r>
      <w:r w:rsidRPr="003C06B2">
        <w:rPr>
          <w:i/>
        </w:rPr>
        <w:t xml:space="preserve"> Grantové dohody</w:t>
      </w:r>
      <w:r w:rsidRPr="00F86C1B">
        <w:rPr>
          <w:i/>
        </w:rPr>
        <w:t xml:space="preserve"> – Odpovědnost za škody</w:t>
      </w:r>
    </w:p>
    <w:p w:rsidR="007E2F59" w:rsidRPr="00F86C1B" w:rsidRDefault="007E2F59" w:rsidP="007E2F59">
      <w:pPr>
        <w:ind w:left="720" w:hanging="720"/>
        <w:rPr>
          <w:i/>
        </w:rPr>
      </w:pPr>
      <w:r w:rsidRPr="003C06B2">
        <w:rPr>
          <w:i/>
        </w:rPr>
        <w:t>II.3.1</w:t>
      </w:r>
      <w:r w:rsidRPr="003C06B2">
        <w:rPr>
          <w:i/>
        </w:rPr>
        <w:tab/>
      </w:r>
      <w:r w:rsidRPr="00F86C1B">
        <w:rPr>
          <w:i/>
        </w:rPr>
        <w:t xml:space="preserve">Agentura nenese odpovědnost za žádné škody způsobené příjemcům nebo třetím stranám v důsledku provádění </w:t>
      </w:r>
      <w:r w:rsidRPr="003C06B2">
        <w:rPr>
          <w:i/>
        </w:rPr>
        <w:t>Projektu.</w:t>
      </w:r>
      <w:r w:rsidRPr="00F86C1B">
        <w:rPr>
          <w:i/>
        </w:rPr>
        <w:t xml:space="preserve"> </w:t>
      </w:r>
    </w:p>
    <w:p w:rsidR="007E2F59" w:rsidRPr="00F86C1B" w:rsidRDefault="007E2F59" w:rsidP="007E2F59">
      <w:pPr>
        <w:ind w:left="720" w:hanging="720"/>
        <w:rPr>
          <w:i/>
        </w:rPr>
      </w:pPr>
      <w:r w:rsidRPr="00F86C1B">
        <w:rPr>
          <w:i/>
        </w:rPr>
        <w:t>II.3.2</w:t>
      </w:r>
      <w:r w:rsidRPr="00F86C1B">
        <w:rPr>
          <w:i/>
        </w:rPr>
        <w:tab/>
        <w:t xml:space="preserve">S výjimkou případů vyšší moci příjemci nahradí Agentuře jakoukoli škodu, která jí vznikla v důsledku provádění </w:t>
      </w:r>
      <w:r w:rsidRPr="003C06B2">
        <w:rPr>
          <w:i/>
        </w:rPr>
        <w:t>Projektu</w:t>
      </w:r>
      <w:r w:rsidRPr="00F86C1B">
        <w:rPr>
          <w:i/>
        </w:rPr>
        <w:t xml:space="preserve">, nebo proto, že </w:t>
      </w:r>
      <w:r w:rsidRPr="003C06B2">
        <w:rPr>
          <w:i/>
        </w:rPr>
        <w:t>Projekt</w:t>
      </w:r>
      <w:r w:rsidRPr="00F86C1B">
        <w:rPr>
          <w:i/>
        </w:rPr>
        <w:t xml:space="preserve"> nebyl proveden nebo byl</w:t>
      </w:r>
      <w:r w:rsidRPr="003C06B2">
        <w:rPr>
          <w:i/>
        </w:rPr>
        <w:t>o</w:t>
      </w:r>
      <w:r w:rsidRPr="00F86C1B">
        <w:rPr>
          <w:i/>
        </w:rPr>
        <w:t xml:space="preserve"> proveden špatně, částečně nebo opožděně.</w:t>
      </w:r>
    </w:p>
    <w:p w:rsidR="007E2F59" w:rsidRPr="00F86C1B" w:rsidRDefault="007E2F59" w:rsidP="007E2F59">
      <w:pPr>
        <w:ind w:left="567"/>
        <w:rPr>
          <w:i/>
        </w:rPr>
      </w:pPr>
    </w:p>
    <w:p w:rsidR="007E2F59" w:rsidRPr="00F86C1B" w:rsidRDefault="007E2F59" w:rsidP="007E2F59">
      <w:pPr>
        <w:rPr>
          <w:i/>
        </w:rPr>
      </w:pPr>
      <w:r w:rsidRPr="00F86C1B">
        <w:rPr>
          <w:i/>
        </w:rPr>
        <w:t>Článek II.4</w:t>
      </w:r>
      <w:r w:rsidRPr="003C06B2">
        <w:rPr>
          <w:i/>
        </w:rPr>
        <w:t xml:space="preserve"> Grantové dohody</w:t>
      </w:r>
      <w:r w:rsidRPr="00F86C1B">
        <w:rPr>
          <w:i/>
        </w:rPr>
        <w:t xml:space="preserve"> – Střet zájmů</w:t>
      </w:r>
    </w:p>
    <w:p w:rsidR="007E2F59" w:rsidRPr="00F86C1B" w:rsidRDefault="007E2F59" w:rsidP="007E2F59">
      <w:pPr>
        <w:ind w:left="720" w:hanging="720"/>
        <w:rPr>
          <w:i/>
        </w:rPr>
      </w:pPr>
      <w:r w:rsidRPr="00F86C1B">
        <w:rPr>
          <w:i/>
        </w:rPr>
        <w:t>II.4.1</w:t>
      </w:r>
      <w:r w:rsidRPr="00F86C1B">
        <w:rPr>
          <w:i/>
        </w:rPr>
        <w:tab/>
        <w:t xml:space="preserve">Příjemci jsou povinni přijmout veškerá nezbytná opatření, aby zabránili jakékoliv situaci, kdy by bylo nezaujaté a objektivní provádění Grantové dohody ohroženo z důvodů souvisejících </w:t>
      </w:r>
      <w:r w:rsidRPr="00F86C1B">
        <w:rPr>
          <w:i/>
        </w:rPr>
        <w:lastRenderedPageBreak/>
        <w:t>s ekonomickými zájmy, politickou nebo státní příslušností, rodinnými nebo citovými vazbami nebo jakýmkoli jiným společným zájmem („střet zájmů“).</w:t>
      </w:r>
    </w:p>
    <w:p w:rsidR="007E2F59" w:rsidRPr="003C06B2" w:rsidRDefault="007E2F59" w:rsidP="007E2F59">
      <w:pPr>
        <w:ind w:left="720" w:hanging="720"/>
        <w:rPr>
          <w:i/>
        </w:rPr>
      </w:pPr>
      <w:r w:rsidRPr="00F86C1B">
        <w:rPr>
          <w:i/>
        </w:rPr>
        <w:t>II.4.2</w:t>
      </w:r>
      <w:r w:rsidRPr="00F86C1B">
        <w:rPr>
          <w:i/>
        </w:rPr>
        <w:tab/>
        <w:t>Jakákoliv situace, která představuje nebo by mohla vést ke střetu zájmů, musí být Agentuře neprodleně písemně oznámena. Příjemci jsou povinni neprodleně učinit veškerá opatření k nápravě této situace. Agentura má právo ověřit, zda jsou učiněná opatření přiměřená a vyzvat k tomu, aby v určené lhůtě byla přijata další opatření.</w:t>
      </w:r>
    </w:p>
    <w:p w:rsidR="007E2F59" w:rsidRPr="00F86C1B" w:rsidRDefault="007E2F59" w:rsidP="007E2F59">
      <w:pPr>
        <w:ind w:left="720" w:hanging="720"/>
        <w:rPr>
          <w:i/>
        </w:rPr>
      </w:pPr>
    </w:p>
    <w:p w:rsidR="007E2F59" w:rsidRPr="00F86C1B" w:rsidRDefault="007E2F59" w:rsidP="007E2F59">
      <w:pPr>
        <w:rPr>
          <w:i/>
        </w:rPr>
      </w:pPr>
      <w:r w:rsidRPr="00F86C1B">
        <w:rPr>
          <w:i/>
        </w:rPr>
        <w:t>Článek II.5</w:t>
      </w:r>
      <w:r w:rsidRPr="003C06B2">
        <w:rPr>
          <w:i/>
        </w:rPr>
        <w:t xml:space="preserve"> Grantové dohody</w:t>
      </w:r>
      <w:r w:rsidRPr="00F86C1B">
        <w:rPr>
          <w:i/>
        </w:rPr>
        <w:t xml:space="preserve"> – Důvěrnost informací</w:t>
      </w:r>
    </w:p>
    <w:p w:rsidR="007E2F59" w:rsidRPr="003C06B2" w:rsidRDefault="007E2F59" w:rsidP="007E2F59">
      <w:pPr>
        <w:ind w:left="720" w:hanging="720"/>
        <w:rPr>
          <w:i/>
        </w:rPr>
      </w:pPr>
      <w:r w:rsidRPr="00F86C1B">
        <w:rPr>
          <w:i/>
        </w:rPr>
        <w:t>II.5.1</w:t>
      </w:r>
      <w:r w:rsidRPr="00F86C1B">
        <w:rPr>
          <w:i/>
        </w:rPr>
        <w:tab/>
        <w:t>Agentura a příjemci jsou povinni zachovávat důvěrnost veškerých informací a dokumentů (v jakékoliv podobě), ať již učiněných písemně či ústně a týkajících se realizace Grantové dohody, pokud jsou výslovně písemně označeny za důvěrné.</w:t>
      </w:r>
    </w:p>
    <w:p w:rsidR="007E2F59" w:rsidRPr="003C06B2" w:rsidRDefault="007E2F59" w:rsidP="007E2F59">
      <w:pPr>
        <w:ind w:left="720" w:hanging="720"/>
        <w:rPr>
          <w:i/>
        </w:rPr>
      </w:pPr>
      <w:r w:rsidRPr="00F86C1B">
        <w:rPr>
          <w:i/>
        </w:rPr>
        <w:t>II.5.2</w:t>
      </w:r>
      <w:r w:rsidRPr="00F86C1B">
        <w:rPr>
          <w:i/>
        </w:rPr>
        <w:tab/>
        <w:t>Pokud není s Agenturou jinak písemně dohodnuto, nesmí příjemci použít důvěrné informace a dokumenty k jinému účelu než plnění jejich povinností dle Grantové dohody.</w:t>
      </w:r>
    </w:p>
    <w:p w:rsidR="007E2F59" w:rsidRPr="00F86C1B" w:rsidRDefault="007E2F59" w:rsidP="007E2F59">
      <w:pPr>
        <w:ind w:left="720" w:hanging="720"/>
        <w:rPr>
          <w:i/>
        </w:rPr>
      </w:pPr>
      <w:r w:rsidRPr="00F86C1B">
        <w:rPr>
          <w:i/>
        </w:rPr>
        <w:t>II.5.3</w:t>
      </w:r>
      <w:r w:rsidRPr="00F86C1B">
        <w:rPr>
          <w:i/>
        </w:rPr>
        <w:tab/>
        <w:t xml:space="preserve">Agentura a Příjemci jsou vázány povinnostmi stanovenými v článcích II.5.1 a II.5.2 v průběhu plnění Grantové dohody a po dobu 5 let od závěrečného proplacení, s výjimkou případů, kdy: </w:t>
      </w:r>
    </w:p>
    <w:p w:rsidR="007E2F59" w:rsidRPr="00F86C1B" w:rsidRDefault="007E2F59" w:rsidP="007E2F59">
      <w:pPr>
        <w:pStyle w:val="Odstavecseseznamem"/>
        <w:numPr>
          <w:ilvl w:val="0"/>
          <w:numId w:val="1"/>
        </w:numPr>
        <w:ind w:left="1418" w:hanging="709"/>
        <w:contextualSpacing w:val="0"/>
        <w:rPr>
          <w:i/>
        </w:rPr>
      </w:pPr>
      <w:r w:rsidRPr="00F86C1B">
        <w:rPr>
          <w:i/>
        </w:rPr>
        <w:t>strana, které dané informace poskytla, této povinnosti druhou stranu zprostí;</w:t>
      </w:r>
    </w:p>
    <w:p w:rsidR="007E2F59" w:rsidRPr="00F86C1B" w:rsidRDefault="007E2F59" w:rsidP="007E2F59">
      <w:pPr>
        <w:pStyle w:val="Odstavecseseznamem"/>
        <w:numPr>
          <w:ilvl w:val="0"/>
          <w:numId w:val="1"/>
        </w:numPr>
        <w:ind w:left="1418" w:hanging="709"/>
        <w:contextualSpacing w:val="0"/>
        <w:rPr>
          <w:i/>
        </w:rPr>
      </w:pPr>
      <w:r w:rsidRPr="00F86C1B">
        <w:rPr>
          <w:i/>
        </w:rPr>
        <w:t>důvěrné informace se stanou obecně známými, aniž by došlo k porušení povinnosti mlčenlivosti některou ze stran vázané touto povinností;</w:t>
      </w:r>
    </w:p>
    <w:p w:rsidR="007E2F59" w:rsidRPr="003C06B2" w:rsidRDefault="007E2F59" w:rsidP="007E2F59">
      <w:pPr>
        <w:pStyle w:val="Odstavecseseznamem"/>
        <w:numPr>
          <w:ilvl w:val="0"/>
          <w:numId w:val="1"/>
        </w:numPr>
        <w:ind w:left="1418" w:hanging="709"/>
        <w:contextualSpacing w:val="0"/>
        <w:rPr>
          <w:i/>
        </w:rPr>
      </w:pPr>
      <w:r w:rsidRPr="00F86C1B">
        <w:rPr>
          <w:i/>
        </w:rPr>
        <w:t>poskytnutí důvěrných informací je vyžadováno právními předpisy.</w:t>
      </w:r>
    </w:p>
    <w:p w:rsidR="007E2F59" w:rsidRDefault="007E2F59" w:rsidP="007E2F59">
      <w:pPr>
        <w:rPr>
          <w:i/>
        </w:rPr>
      </w:pPr>
    </w:p>
    <w:p w:rsidR="007E2F59" w:rsidRPr="00F86C1B" w:rsidRDefault="007E2F59" w:rsidP="007E2F59">
      <w:pPr>
        <w:rPr>
          <w:i/>
        </w:rPr>
      </w:pPr>
      <w:r w:rsidRPr="00F86C1B">
        <w:rPr>
          <w:i/>
        </w:rPr>
        <w:t>Článek II.8</w:t>
      </w:r>
      <w:r w:rsidRPr="003C06B2">
        <w:rPr>
          <w:i/>
        </w:rPr>
        <w:t xml:space="preserve"> Grantové dohody</w:t>
      </w:r>
      <w:r w:rsidRPr="00F86C1B">
        <w:rPr>
          <w:i/>
        </w:rPr>
        <w:t xml:space="preserve"> </w:t>
      </w:r>
    </w:p>
    <w:p w:rsidR="007E2F59" w:rsidRPr="00F86C1B" w:rsidRDefault="007E2F59" w:rsidP="007E2F59">
      <w:pPr>
        <w:ind w:left="720" w:hanging="720"/>
        <w:rPr>
          <w:i/>
        </w:rPr>
      </w:pPr>
      <w:r w:rsidRPr="003C06B2">
        <w:rPr>
          <w:i/>
        </w:rPr>
        <w:t>II.8.1</w:t>
      </w:r>
      <w:r w:rsidRPr="003C06B2">
        <w:rPr>
          <w:i/>
        </w:rPr>
        <w:tab/>
      </w:r>
      <w:r w:rsidRPr="00F86C1B">
        <w:rPr>
          <w:i/>
        </w:rPr>
        <w:t>Vlastnictví výsledků příjemci</w:t>
      </w:r>
    </w:p>
    <w:p w:rsidR="007E2F59" w:rsidRPr="003C06B2" w:rsidRDefault="007E2F59" w:rsidP="007E2F59">
      <w:pPr>
        <w:ind w:left="720"/>
        <w:rPr>
          <w:i/>
        </w:rPr>
      </w:pPr>
      <w:r w:rsidRPr="00F86C1B">
        <w:rPr>
          <w:i/>
        </w:rPr>
        <w:t xml:space="preserve">Pokud není v Grantové dohodě sjednáno jinak, vlastnictví k výsledkům </w:t>
      </w:r>
      <w:r w:rsidRPr="003C06B2">
        <w:rPr>
          <w:i/>
        </w:rPr>
        <w:t>Projektu</w:t>
      </w:r>
      <w:r w:rsidRPr="00F86C1B">
        <w:rPr>
          <w:i/>
        </w:rPr>
        <w:t xml:space="preserve"> včetně práv duševního vlastnictví a vlastnictví zpráv a jiných dokumentů vztahujícím se k těmto právům náleží příjemcům.</w:t>
      </w:r>
    </w:p>
    <w:p w:rsidR="007E2F59" w:rsidRPr="00F86C1B" w:rsidRDefault="007E2F59" w:rsidP="007E2F59">
      <w:pPr>
        <w:ind w:left="720" w:hanging="720"/>
        <w:rPr>
          <w:i/>
        </w:rPr>
      </w:pPr>
      <w:r w:rsidRPr="00F86C1B">
        <w:rPr>
          <w:i/>
        </w:rPr>
        <w:t>II.8.2</w:t>
      </w:r>
      <w:r w:rsidRPr="00F86C1B">
        <w:rPr>
          <w:i/>
        </w:rPr>
        <w:tab/>
        <w:t xml:space="preserve">Příjemci jsou povinni uvést seznam práv průmyslového a duševního vlastnictví, včetně práv třetích stran, která existovala již před uzavřením Grantové dohody, jenž bude specifikovat vlastnická práva a využívání již stávající práva průmyslového a duševního vlastnictví a tento seznam předat Agentuře z nejpozději před zahájením provádění </w:t>
      </w:r>
      <w:r w:rsidRPr="003C06B2">
        <w:rPr>
          <w:i/>
        </w:rPr>
        <w:t>Projektu</w:t>
      </w:r>
      <w:r w:rsidRPr="00F86C1B">
        <w:rPr>
          <w:i/>
        </w:rPr>
        <w:t>.</w:t>
      </w:r>
    </w:p>
    <w:p w:rsidR="007E2F59" w:rsidRPr="003C06B2" w:rsidRDefault="007E2F59" w:rsidP="007E2F59">
      <w:pPr>
        <w:ind w:left="720" w:hanging="720"/>
        <w:rPr>
          <w:i/>
        </w:rPr>
      </w:pPr>
      <w:r w:rsidRPr="00F86C1B">
        <w:rPr>
          <w:i/>
        </w:rPr>
        <w:tab/>
        <w:t>Příjemci a jejich přidružené subjekty musí zajistit, že mají v průběhu provádění Grantové dohody všechny práva k využívání stávajících práv průmyslového a duševního vlastnictví.</w:t>
      </w:r>
    </w:p>
    <w:p w:rsidR="007E2F59" w:rsidRPr="00F86C1B" w:rsidRDefault="007E2F59" w:rsidP="007E2F59">
      <w:pPr>
        <w:ind w:left="720" w:hanging="720"/>
        <w:rPr>
          <w:i/>
        </w:rPr>
      </w:pPr>
      <w:r w:rsidRPr="00F86C1B">
        <w:rPr>
          <w:i/>
        </w:rPr>
        <w:t>II.8.3</w:t>
      </w:r>
      <w:r w:rsidRPr="00F86C1B">
        <w:rPr>
          <w:i/>
        </w:rPr>
        <w:tab/>
        <w:t>Práva k využívání výsledků a stávajících práv Agenturou</w:t>
      </w:r>
    </w:p>
    <w:p w:rsidR="007E2F59" w:rsidRPr="00F86C1B" w:rsidRDefault="007E2F59" w:rsidP="007E2F59">
      <w:pPr>
        <w:ind w:left="648" w:hanging="648"/>
        <w:rPr>
          <w:i/>
        </w:rPr>
      </w:pPr>
      <w:r w:rsidRPr="00F86C1B">
        <w:rPr>
          <w:i/>
        </w:rPr>
        <w:tab/>
        <w:t>Aniž by byla dotčena ustanovení článků II.1.1</w:t>
      </w:r>
      <w:r w:rsidRPr="003C06B2">
        <w:rPr>
          <w:rStyle w:val="Znakapoznpodarou"/>
          <w:i/>
        </w:rPr>
        <w:footnoteReference w:id="3"/>
      </w:r>
      <w:r w:rsidRPr="00F86C1B">
        <w:rPr>
          <w:i/>
        </w:rPr>
        <w:t>, II.3</w:t>
      </w:r>
      <w:r w:rsidRPr="003C06B2">
        <w:rPr>
          <w:rStyle w:val="Znakapoznpodarou"/>
          <w:i/>
        </w:rPr>
        <w:footnoteReference w:id="4"/>
      </w:r>
      <w:r w:rsidRPr="00F86C1B">
        <w:rPr>
          <w:i/>
        </w:rPr>
        <w:t xml:space="preserve"> a II.8.1, příjemci Agentuře udělují právo využívat výsledky </w:t>
      </w:r>
      <w:r w:rsidRPr="003C06B2">
        <w:rPr>
          <w:i/>
        </w:rPr>
        <w:t>Projektu</w:t>
      </w:r>
      <w:r w:rsidRPr="00F86C1B">
        <w:rPr>
          <w:i/>
        </w:rPr>
        <w:t xml:space="preserve"> k následujícím účelům: </w:t>
      </w:r>
    </w:p>
    <w:p w:rsidR="007E2F59" w:rsidRPr="00F86C1B" w:rsidRDefault="007E2F59" w:rsidP="007E2F59">
      <w:pPr>
        <w:pStyle w:val="Odstavecseseznamem"/>
        <w:numPr>
          <w:ilvl w:val="0"/>
          <w:numId w:val="7"/>
        </w:numPr>
        <w:ind w:left="1418" w:hanging="709"/>
        <w:contextualSpacing w:val="0"/>
        <w:rPr>
          <w:i/>
        </w:rPr>
      </w:pPr>
      <w:r w:rsidRPr="00F86C1B">
        <w:rPr>
          <w:i/>
        </w:rPr>
        <w:t>použití pro vlastní potřebu (zejména jejich zpřístupnění osobám, které pracují pro Agenturu, Unijní instituce, ostatní orgány EU a instituce členských států EU, stejně jako pořizování kopií nebo jejich rozmnožování, ať už v celku, nebo z části, v neomezeném množství);</w:t>
      </w:r>
    </w:p>
    <w:p w:rsidR="007E2F59" w:rsidRPr="00F86C1B" w:rsidRDefault="007E2F59" w:rsidP="007E2F59">
      <w:pPr>
        <w:pStyle w:val="Odstavecseseznamem"/>
        <w:numPr>
          <w:ilvl w:val="0"/>
          <w:numId w:val="7"/>
        </w:numPr>
        <w:ind w:left="1418" w:hanging="709"/>
        <w:contextualSpacing w:val="0"/>
        <w:rPr>
          <w:i/>
        </w:rPr>
      </w:pPr>
      <w:r w:rsidRPr="00F86C1B">
        <w:rPr>
          <w:i/>
        </w:rPr>
        <w:t xml:space="preserve">veřejné šíření (zejména zveřejňování tištěných, elektronických a digitálních verzí, zveřejňování na internetu, včetně stránek Evropa, jako stažitelných či nestažitelných souborů, vysílání prostřednictvím libovolného kanálu, veřejné převedení nebo </w:t>
      </w:r>
      <w:r w:rsidRPr="00F86C1B">
        <w:rPr>
          <w:i/>
        </w:rPr>
        <w:lastRenderedPageBreak/>
        <w:t>prezentace, sdělování prostřednictvím tiskových informačních služeb či zařízení do veřejně přístupných databází a rejstříků);</w:t>
      </w:r>
    </w:p>
    <w:p w:rsidR="007E2F59" w:rsidRPr="00F86C1B" w:rsidRDefault="007E2F59" w:rsidP="007E2F59">
      <w:pPr>
        <w:pStyle w:val="Odstavecseseznamem"/>
        <w:numPr>
          <w:ilvl w:val="0"/>
          <w:numId w:val="7"/>
        </w:numPr>
        <w:ind w:left="1418" w:hanging="709"/>
        <w:contextualSpacing w:val="0"/>
        <w:rPr>
          <w:i/>
        </w:rPr>
      </w:pPr>
      <w:r w:rsidRPr="00F86C1B">
        <w:rPr>
          <w:i/>
        </w:rPr>
        <w:t>překlad;</w:t>
      </w:r>
    </w:p>
    <w:p w:rsidR="007E2F59" w:rsidRPr="00F86C1B" w:rsidRDefault="007E2F59" w:rsidP="007E2F59">
      <w:pPr>
        <w:pStyle w:val="Odstavecseseznamem"/>
        <w:numPr>
          <w:ilvl w:val="0"/>
          <w:numId w:val="7"/>
        </w:numPr>
        <w:ind w:left="1418" w:hanging="709"/>
        <w:contextualSpacing w:val="0"/>
        <w:rPr>
          <w:i/>
        </w:rPr>
      </w:pPr>
      <w:r w:rsidRPr="00F86C1B">
        <w:rPr>
          <w:i/>
        </w:rPr>
        <w:t>zpřístupnění na základě individuální žádosti podle nařízení Evropského parlamentu a Rady (ES) č. 1049/2001 ze dne 30. 5. 2001 o přístupu veřejnosti k dokumentům Evropského parlamentu, Rady a Komise, a to bez práva na rozmnožování či využívání daných materiálů;</w:t>
      </w:r>
    </w:p>
    <w:p w:rsidR="007E2F59" w:rsidRPr="00F86C1B" w:rsidRDefault="007E2F59" w:rsidP="007E2F59">
      <w:pPr>
        <w:pStyle w:val="Odstavecseseznamem"/>
        <w:numPr>
          <w:ilvl w:val="0"/>
          <w:numId w:val="7"/>
        </w:numPr>
        <w:ind w:left="1418" w:hanging="709"/>
        <w:contextualSpacing w:val="0"/>
        <w:rPr>
          <w:i/>
        </w:rPr>
      </w:pPr>
      <w:r w:rsidRPr="00F86C1B">
        <w:rPr>
          <w:i/>
        </w:rPr>
        <w:t>uchovávání v papírové, elektronické či jiné podobě;</w:t>
      </w:r>
    </w:p>
    <w:p w:rsidR="007E2F59" w:rsidRPr="00F86C1B" w:rsidRDefault="007E2F59" w:rsidP="007E2F59">
      <w:pPr>
        <w:pStyle w:val="Odstavecseseznamem"/>
        <w:numPr>
          <w:ilvl w:val="0"/>
          <w:numId w:val="7"/>
        </w:numPr>
        <w:ind w:left="1418" w:hanging="709"/>
        <w:contextualSpacing w:val="0"/>
        <w:rPr>
          <w:i/>
        </w:rPr>
      </w:pPr>
      <w:r w:rsidRPr="00F86C1B">
        <w:rPr>
          <w:i/>
        </w:rPr>
        <w:t>archivaci v souladu s platnými předpisy Agentury o správě dokumentů;</w:t>
      </w:r>
    </w:p>
    <w:p w:rsidR="007E2F59" w:rsidRPr="00F86C1B" w:rsidRDefault="007E2F59" w:rsidP="007E2F59">
      <w:pPr>
        <w:pStyle w:val="Odstavecseseznamem"/>
        <w:numPr>
          <w:ilvl w:val="0"/>
          <w:numId w:val="7"/>
        </w:numPr>
        <w:ind w:left="1418" w:hanging="709"/>
        <w:contextualSpacing w:val="0"/>
        <w:rPr>
          <w:i/>
        </w:rPr>
      </w:pPr>
      <w:r w:rsidRPr="00F86C1B">
        <w:rPr>
          <w:i/>
        </w:rPr>
        <w:t>právo zmocnit 3. strany, aby jednaly jejím jménem, nebo udělit 3. straně sublicenci ke způsobům použití uvedených v písmenech (b) a (c).</w:t>
      </w:r>
    </w:p>
    <w:p w:rsidR="007E2F59" w:rsidRPr="00F86C1B" w:rsidRDefault="007E2F59" w:rsidP="007E2F59">
      <w:pPr>
        <w:ind w:left="1357" w:hanging="648"/>
        <w:rPr>
          <w:i/>
        </w:rPr>
      </w:pPr>
      <w:r w:rsidRPr="00F86C1B">
        <w:rPr>
          <w:i/>
        </w:rPr>
        <w:t>Další užívací práva svědčící Agentuře mohou být upravena Zvláštními podmínkami.</w:t>
      </w:r>
      <w:r w:rsidRPr="006D1771">
        <w:rPr>
          <w:vertAlign w:val="superscript"/>
        </w:rPr>
        <w:footnoteReference w:id="5"/>
      </w:r>
    </w:p>
    <w:p w:rsidR="007E2F59" w:rsidRPr="00F86C1B" w:rsidRDefault="007E2F59" w:rsidP="007E2F59">
      <w:pPr>
        <w:ind w:left="709"/>
        <w:rPr>
          <w:i/>
        </w:rPr>
      </w:pPr>
      <w:r w:rsidRPr="00F86C1B">
        <w:rPr>
          <w:i/>
        </w:rPr>
        <w:t>Příjemci zaručí, že Agentura bude mít právo využívat vešk</w:t>
      </w:r>
      <w:r w:rsidRPr="003C06B2">
        <w:rPr>
          <w:i/>
        </w:rPr>
        <w:t xml:space="preserve">erá stávající práva </w:t>
      </w:r>
      <w:r w:rsidRPr="00F86C1B">
        <w:rPr>
          <w:i/>
        </w:rPr>
        <w:t>průmyslového a duševního vlastnictví, která byla zahrnuta do výsledků Projektu. Nebude-li ve Zvláštních podmínkách</w:t>
      </w:r>
      <w:r w:rsidRPr="003C06B2">
        <w:rPr>
          <w:rStyle w:val="Znakapoznpodarou"/>
          <w:i/>
        </w:rPr>
        <w:footnoteReference w:id="6"/>
      </w:r>
      <w:r w:rsidRPr="00F86C1B">
        <w:rPr>
          <w:i/>
        </w:rPr>
        <w:t xml:space="preserve"> uvedeno něco jiného, budou tato stávající práva využita pro stej</w:t>
      </w:r>
      <w:r w:rsidRPr="003C06B2">
        <w:rPr>
          <w:i/>
        </w:rPr>
        <w:t xml:space="preserve">né účely a za </w:t>
      </w:r>
      <w:r w:rsidRPr="00F86C1B">
        <w:rPr>
          <w:i/>
        </w:rPr>
        <w:t>stejných podmínek vztahujících se na práva k využívání výsledků Projektu.</w:t>
      </w:r>
    </w:p>
    <w:p w:rsidR="007E2F59" w:rsidRPr="00F86C1B" w:rsidRDefault="007E2F59" w:rsidP="007E2F59">
      <w:pPr>
        <w:ind w:left="709"/>
        <w:rPr>
          <w:i/>
        </w:rPr>
      </w:pPr>
      <w:r w:rsidRPr="00F86C1B">
        <w:rPr>
          <w:i/>
        </w:rPr>
        <w:t>Informace o vlastníkovi autorských práv budou doplněny při zpřístupnění výsledku ze strany Agentury. Informace o autorských právech budou uvedeny v následujícím formátu: „© – [</w:t>
      </w:r>
      <w:r w:rsidRPr="003C06B2">
        <w:rPr>
          <w:i/>
        </w:rPr>
        <w:t>rok</w:t>
      </w:r>
      <w:r w:rsidRPr="00F86C1B">
        <w:rPr>
          <w:i/>
        </w:rPr>
        <w:t>] – [</w:t>
      </w:r>
      <w:r w:rsidRPr="003C06B2">
        <w:rPr>
          <w:i/>
        </w:rPr>
        <w:t>jméno vlastníka autorských práv</w:t>
      </w:r>
      <w:r w:rsidRPr="00F86C1B">
        <w:rPr>
          <w:i/>
        </w:rPr>
        <w:t xml:space="preserve">]. Všechna práva vyhrazena. Licence poskytnuta agentuře </w:t>
      </w:r>
      <w:proofErr w:type="spellStart"/>
      <w:r w:rsidRPr="00F86C1B">
        <w:rPr>
          <w:i/>
        </w:rPr>
        <w:t>Innovation</w:t>
      </w:r>
      <w:proofErr w:type="spellEnd"/>
      <w:r w:rsidRPr="00F86C1B">
        <w:rPr>
          <w:i/>
        </w:rPr>
        <w:t xml:space="preserve"> and Network </w:t>
      </w:r>
      <w:proofErr w:type="spellStart"/>
      <w:r w:rsidRPr="00F86C1B">
        <w:rPr>
          <w:i/>
        </w:rPr>
        <w:t>Agency</w:t>
      </w:r>
      <w:proofErr w:type="spellEnd"/>
      <w:r w:rsidRPr="00F86C1B">
        <w:rPr>
          <w:i/>
        </w:rPr>
        <w:t xml:space="preserve"> v souladu s jejími podmínkami.“.</w:t>
      </w:r>
    </w:p>
    <w:p w:rsidR="007E2F59" w:rsidRPr="00F86C1B" w:rsidRDefault="007E2F59" w:rsidP="007E2F59">
      <w:pPr>
        <w:ind w:left="1275" w:hanging="648"/>
        <w:rPr>
          <w:i/>
        </w:rPr>
      </w:pPr>
    </w:p>
    <w:p w:rsidR="007E2F59" w:rsidRPr="00F86C1B" w:rsidRDefault="007E2F59" w:rsidP="007E2F59">
      <w:pPr>
        <w:rPr>
          <w:i/>
        </w:rPr>
      </w:pPr>
      <w:r w:rsidRPr="00F86C1B">
        <w:rPr>
          <w:i/>
        </w:rPr>
        <w:t>Článek II. 27 – Kontroly, audity a hodnocení</w:t>
      </w:r>
    </w:p>
    <w:p w:rsidR="007E2F59" w:rsidRPr="00F86C1B" w:rsidRDefault="007E2F59" w:rsidP="007E2F59">
      <w:pPr>
        <w:ind w:left="720" w:hanging="720"/>
        <w:rPr>
          <w:i/>
        </w:rPr>
      </w:pPr>
      <w:r w:rsidRPr="00F86C1B">
        <w:rPr>
          <w:i/>
        </w:rPr>
        <w:t>II.27.1</w:t>
      </w:r>
      <w:r w:rsidRPr="00F86C1B">
        <w:rPr>
          <w:i/>
        </w:rPr>
        <w:tab/>
        <w:t>Technické a finanční kontroly, audity, průběžná a konečná hodnocení</w:t>
      </w:r>
    </w:p>
    <w:p w:rsidR="007E2F59" w:rsidRPr="00F86C1B" w:rsidRDefault="007E2F59" w:rsidP="007E2F59">
      <w:pPr>
        <w:ind w:left="720"/>
        <w:rPr>
          <w:i/>
        </w:rPr>
      </w:pPr>
      <w:r w:rsidRPr="00F86C1B">
        <w:rPr>
          <w:i/>
        </w:rPr>
        <w:t>Komise nebo Agentura je oprávněna provádět technické nebo finanční kontroly a audity využívání grantu. Je rovněž oprávněna kontrolovat zákonem uložené evidence a záznamy příjemců pro účely periodického vyhodnocení jednorázových částek, jednotkových nákladů a paušálních sazeb.</w:t>
      </w:r>
      <w:r w:rsidRPr="00F86C1B">
        <w:rPr>
          <w:i/>
        </w:rPr>
        <w:tab/>
      </w:r>
    </w:p>
    <w:p w:rsidR="007E2F59" w:rsidRPr="00F86C1B" w:rsidRDefault="007E2F59" w:rsidP="007E2F59">
      <w:pPr>
        <w:ind w:left="720"/>
        <w:rPr>
          <w:i/>
        </w:rPr>
      </w:pPr>
      <w:r w:rsidRPr="00F86C1B">
        <w:rPr>
          <w:i/>
        </w:rPr>
        <w:t>Informace a dokumenty poskytnuté v rámci kontrol nebo auditů budou považovány za důvěrné.</w:t>
      </w:r>
    </w:p>
    <w:p w:rsidR="007E2F59" w:rsidRPr="00F86C1B" w:rsidRDefault="007E2F59" w:rsidP="007E2F59">
      <w:pPr>
        <w:ind w:left="720"/>
        <w:rPr>
          <w:i/>
        </w:rPr>
      </w:pPr>
      <w:r w:rsidRPr="00F86C1B">
        <w:rPr>
          <w:i/>
        </w:rPr>
        <w:t>Komise nebo Agentura je kromě toho oprávněna provádět průběžné nebo konečné hodnocení dopadu Projektu z hlediska naplnění cíle dotčeného Unijního programu za účelem vyhodnocení toho, zda byly naplněny tyto cíle včetně těch, jež se týkají ochrany životního prostředí.</w:t>
      </w:r>
    </w:p>
    <w:p w:rsidR="007E2F59" w:rsidRPr="00F86C1B" w:rsidRDefault="007E2F59" w:rsidP="007E2F59">
      <w:pPr>
        <w:ind w:left="720"/>
        <w:rPr>
          <w:i/>
        </w:rPr>
      </w:pPr>
      <w:r w:rsidRPr="00F86C1B">
        <w:rPr>
          <w:i/>
        </w:rPr>
        <w:t>Kontroly, audity nebo hodnocení prováděné Komisí nebo Agenturou mohou být prováděny buď přímo pomocí vlastního personálu nebo jakéhokoli jiného externího subjektu oprávněného k jejich provádění jménem Komise nebo Agentury.</w:t>
      </w:r>
    </w:p>
    <w:p w:rsidR="007E2F59" w:rsidRPr="00F86C1B" w:rsidRDefault="007E2F59" w:rsidP="007E2F59">
      <w:pPr>
        <w:ind w:left="720"/>
        <w:rPr>
          <w:i/>
        </w:rPr>
      </w:pPr>
      <w:r w:rsidRPr="00F86C1B">
        <w:rPr>
          <w:i/>
        </w:rPr>
        <w:t xml:space="preserve">Tyto kontroly, audity nebo hodnocení mohou být zahájeny během realizace Grantové dohody a až pět po platbě zůstatku. Tato lhůta je omezena na tři roky, pokud maximální částka uvedená v čl. 3 nepřekročí 60 000 EUR. </w:t>
      </w:r>
      <w:r>
        <w:rPr>
          <w:rStyle w:val="Znakapoznpodarou"/>
          <w:i/>
        </w:rPr>
        <w:footnoteReference w:id="7"/>
      </w:r>
    </w:p>
    <w:p w:rsidR="007E2F59" w:rsidRPr="003C06B2" w:rsidRDefault="007E2F59" w:rsidP="007E2F59">
      <w:pPr>
        <w:ind w:left="720"/>
        <w:rPr>
          <w:i/>
        </w:rPr>
      </w:pPr>
      <w:r w:rsidRPr="00F86C1B">
        <w:rPr>
          <w:i/>
        </w:rPr>
        <w:lastRenderedPageBreak/>
        <w:t>Kontrola, audit nebo hodnocení jsou považovány za zahájené k datu přijetí oznámení Komise nebo Agentury o jejich zahájení.</w:t>
      </w:r>
    </w:p>
    <w:p w:rsidR="007E2F59" w:rsidRPr="00F86C1B" w:rsidRDefault="007E2F59" w:rsidP="007E2F59">
      <w:pPr>
        <w:ind w:left="720"/>
        <w:rPr>
          <w:i/>
        </w:rPr>
      </w:pPr>
    </w:p>
    <w:p w:rsidR="007E2F59" w:rsidRPr="00F86C1B" w:rsidRDefault="007E2F59" w:rsidP="007E2F59">
      <w:pPr>
        <w:ind w:left="720" w:hanging="720"/>
        <w:rPr>
          <w:i/>
        </w:rPr>
      </w:pPr>
      <w:r w:rsidRPr="00F86C1B">
        <w:rPr>
          <w:i/>
        </w:rPr>
        <w:t>II.27.2</w:t>
      </w:r>
      <w:r w:rsidRPr="00F86C1B">
        <w:rPr>
          <w:i/>
        </w:rPr>
        <w:tab/>
        <w:t>Povinnost uchovávat dokumenty</w:t>
      </w:r>
    </w:p>
    <w:p w:rsidR="007E2F59" w:rsidRPr="00F86C1B" w:rsidRDefault="007E2F59" w:rsidP="007E2F59">
      <w:pPr>
        <w:ind w:left="720"/>
        <w:rPr>
          <w:i/>
        </w:rPr>
      </w:pPr>
      <w:r w:rsidRPr="00F86C1B">
        <w:rPr>
          <w:i/>
        </w:rPr>
        <w:t>Příjemci jsou povinni uchovávat originály veškerých dokumentů, zejména účetní a daňové záznamy, na vhodném médiu, včetně digitalizovaných originálů, pokud jim to příslušná vnitrostátní legislativa umožňuje a v souladu s podmínkami jí stanovenými, po dobu 5 let od data platby zůstatku.</w:t>
      </w:r>
    </w:p>
    <w:p w:rsidR="007E2F59" w:rsidRPr="00F86C1B" w:rsidRDefault="007E2F59" w:rsidP="007E2F59">
      <w:pPr>
        <w:ind w:left="720"/>
        <w:rPr>
          <w:i/>
        </w:rPr>
      </w:pPr>
      <w:r w:rsidRPr="00F86C1B">
        <w:rPr>
          <w:i/>
        </w:rPr>
        <w:t>Tato lhůta je omezena na tři roky, pokud maximální částka uvedená v čl. 3 nepřekročí 60 000 EUR.</w:t>
      </w:r>
    </w:p>
    <w:p w:rsidR="007E2F59" w:rsidRPr="003C06B2" w:rsidRDefault="007E2F59" w:rsidP="007E2F59">
      <w:pPr>
        <w:ind w:left="720"/>
        <w:rPr>
          <w:i/>
        </w:rPr>
      </w:pPr>
      <w:r w:rsidRPr="00F86C1B">
        <w:rPr>
          <w:i/>
        </w:rPr>
        <w:t xml:space="preserve">Lhůty uvedené v prvním a druhém odstavci tohoto článku se prodlužují v případě probíhajících auditů, odvolacích řízení, soudních řízení nebo uplatnění nároků týkajících se grantu, včetně případu uvedeného v čl. II.27.7. V takových případech jsou příjemci dokumenty uchovávat až do okamžiku ukončení takových auditů, odvolacích nebo soudních řízení či vyřízení takových nároků. </w:t>
      </w:r>
    </w:p>
    <w:p w:rsidR="007E2F59" w:rsidRPr="00F86C1B" w:rsidRDefault="007E2F59" w:rsidP="007E2F59">
      <w:pPr>
        <w:ind w:left="720"/>
        <w:rPr>
          <w:i/>
        </w:rPr>
      </w:pPr>
    </w:p>
    <w:p w:rsidR="007E2F59" w:rsidRPr="00F86C1B" w:rsidRDefault="007E2F59" w:rsidP="007E2F59">
      <w:pPr>
        <w:ind w:left="720" w:hanging="720"/>
        <w:rPr>
          <w:i/>
        </w:rPr>
      </w:pPr>
      <w:r w:rsidRPr="00F86C1B">
        <w:rPr>
          <w:i/>
        </w:rPr>
        <w:t>II.27.3</w:t>
      </w:r>
      <w:r w:rsidRPr="00F86C1B">
        <w:rPr>
          <w:i/>
        </w:rPr>
        <w:tab/>
        <w:t>Povinnost poskytovat informace</w:t>
      </w:r>
    </w:p>
    <w:p w:rsidR="007E2F59" w:rsidRPr="00F86C1B" w:rsidRDefault="007E2F59" w:rsidP="007E2F59">
      <w:pPr>
        <w:ind w:left="720"/>
        <w:rPr>
          <w:i/>
        </w:rPr>
      </w:pPr>
      <w:r w:rsidRPr="00F86C1B">
        <w:rPr>
          <w:i/>
        </w:rPr>
        <w:t>Příjemci jsou povinni poskytnout veškeré informace, včetně informací v elektronickém formátu, vyžádané Komisí nebo Agenturou nebo jiným externím subjektem jí pověřeným v rámci kontroly, auditu nebo hodnocení.</w:t>
      </w:r>
    </w:p>
    <w:p w:rsidR="007E2F59" w:rsidRPr="00F86C1B" w:rsidRDefault="007E2F59" w:rsidP="007E2F59">
      <w:pPr>
        <w:ind w:left="720"/>
        <w:rPr>
          <w:i/>
        </w:rPr>
      </w:pPr>
      <w:r w:rsidRPr="00F86C1B">
        <w:rPr>
          <w:i/>
        </w:rPr>
        <w:t>Pokud příjemce nesplňuje povinnosti uvedené v prvním odstavci tohoto článku, může Komise nebo Agentura považovat:</w:t>
      </w:r>
    </w:p>
    <w:p w:rsidR="007E2F59" w:rsidRPr="00F86C1B" w:rsidRDefault="007E2F59" w:rsidP="007E2F59">
      <w:pPr>
        <w:pStyle w:val="Odstavecseseznamem"/>
        <w:numPr>
          <w:ilvl w:val="0"/>
          <w:numId w:val="8"/>
        </w:numPr>
        <w:ind w:left="1418" w:hanging="709"/>
        <w:contextualSpacing w:val="0"/>
        <w:rPr>
          <w:i/>
        </w:rPr>
      </w:pPr>
      <w:r w:rsidRPr="00F86C1B">
        <w:rPr>
          <w:i/>
        </w:rPr>
        <w:t>veškeré náklady nedostatečně doložené informacemi poskytnutými příjemcem za nezpůsobilé;</w:t>
      </w:r>
    </w:p>
    <w:p w:rsidR="007E2F59" w:rsidRPr="003C06B2" w:rsidRDefault="007E2F59" w:rsidP="007E2F59">
      <w:pPr>
        <w:pStyle w:val="Odstavecseseznamem"/>
        <w:numPr>
          <w:ilvl w:val="0"/>
          <w:numId w:val="8"/>
        </w:numPr>
        <w:ind w:left="1418" w:hanging="709"/>
        <w:contextualSpacing w:val="0"/>
        <w:rPr>
          <w:i/>
        </w:rPr>
      </w:pPr>
      <w:r w:rsidRPr="00F86C1B">
        <w:rPr>
          <w:i/>
        </w:rPr>
        <w:t>veškeré jednotkové, jednorázové či paušální příspěvky nedostatečně doložené informacemi poskytnutými příjemcem za neoprávněně čerpané.</w:t>
      </w:r>
    </w:p>
    <w:p w:rsidR="007E2F59" w:rsidRPr="00F86C1B" w:rsidRDefault="007E2F59" w:rsidP="007E2F59">
      <w:pPr>
        <w:pStyle w:val="Odstavecseseznamem"/>
        <w:ind w:left="1080"/>
        <w:contextualSpacing w:val="0"/>
        <w:rPr>
          <w:i/>
        </w:rPr>
      </w:pPr>
    </w:p>
    <w:p w:rsidR="007E2F59" w:rsidRPr="00F86C1B" w:rsidRDefault="007E2F59" w:rsidP="007E2F59">
      <w:pPr>
        <w:ind w:left="720" w:hanging="720"/>
        <w:rPr>
          <w:i/>
        </w:rPr>
      </w:pPr>
      <w:r w:rsidRPr="00F86C1B">
        <w:rPr>
          <w:i/>
        </w:rPr>
        <w:t>II.27.4</w:t>
      </w:r>
      <w:r w:rsidRPr="00F86C1B">
        <w:rPr>
          <w:i/>
        </w:rPr>
        <w:tab/>
        <w:t>Audity na místě</w:t>
      </w:r>
    </w:p>
    <w:p w:rsidR="007E2F59" w:rsidRPr="00F86C1B" w:rsidRDefault="007E2F59" w:rsidP="007E2F59">
      <w:pPr>
        <w:ind w:left="720"/>
        <w:rPr>
          <w:i/>
        </w:rPr>
      </w:pPr>
      <w:r w:rsidRPr="00F86C1B">
        <w:rPr>
          <w:i/>
        </w:rPr>
        <w:t>Během auditu na místě jsou příjemci povinni umožnit personálu Komise nebo Agentury nebo personálu externího subjektu oprávněného k jeho provedení jménem Komise nebo Agentury do svých objektů a prostor, kde je nebo byl prováděn Projekt a ke všem nezbytným informacím včetně informací v elektronickém formátu.</w:t>
      </w:r>
    </w:p>
    <w:p w:rsidR="007E2F59" w:rsidRPr="00F86C1B" w:rsidRDefault="007E2F59" w:rsidP="007E2F59">
      <w:pPr>
        <w:ind w:left="720"/>
        <w:rPr>
          <w:i/>
        </w:rPr>
      </w:pPr>
      <w:r w:rsidRPr="00F86C1B">
        <w:rPr>
          <w:i/>
        </w:rPr>
        <w:t>Příjemci musí zajistit, aby byly informace snadno dostupné v okamžiku auditu na místě a aby byly vyžádané informace předány ve vhodné formě.</w:t>
      </w:r>
    </w:p>
    <w:p w:rsidR="007E2F59" w:rsidRPr="00F86C1B" w:rsidRDefault="007E2F59" w:rsidP="007E2F59">
      <w:pPr>
        <w:ind w:left="720"/>
        <w:rPr>
          <w:i/>
        </w:rPr>
      </w:pPr>
      <w:r w:rsidRPr="00F86C1B">
        <w:rPr>
          <w:i/>
        </w:rPr>
        <w:t>Pokud příjemce odmítne umožnit přístup do svých prostor a objektů a k informacím v souladu s prvními dvěma odstavci tohoto článku, může Komise nebo Agentura považovat:</w:t>
      </w:r>
    </w:p>
    <w:p w:rsidR="007E2F59" w:rsidRPr="00F86C1B" w:rsidRDefault="007E2F59" w:rsidP="007E2F59">
      <w:pPr>
        <w:pStyle w:val="Odstavecseseznamem"/>
        <w:numPr>
          <w:ilvl w:val="0"/>
          <w:numId w:val="9"/>
        </w:numPr>
        <w:ind w:left="1418" w:hanging="709"/>
        <w:contextualSpacing w:val="0"/>
        <w:rPr>
          <w:i/>
        </w:rPr>
      </w:pPr>
      <w:r w:rsidRPr="00F86C1B">
        <w:rPr>
          <w:i/>
        </w:rPr>
        <w:t>veškeré náklady nedostatečně doložené informacemi poskytnutými příjemcem za nezpůsobilé;</w:t>
      </w:r>
    </w:p>
    <w:p w:rsidR="007E2F59" w:rsidRPr="003C06B2" w:rsidRDefault="007E2F59" w:rsidP="007E2F59">
      <w:pPr>
        <w:pStyle w:val="Odstavecseseznamem"/>
        <w:numPr>
          <w:ilvl w:val="0"/>
          <w:numId w:val="9"/>
        </w:numPr>
        <w:ind w:left="1418" w:hanging="709"/>
        <w:contextualSpacing w:val="0"/>
        <w:rPr>
          <w:i/>
        </w:rPr>
      </w:pPr>
      <w:r w:rsidRPr="00F86C1B">
        <w:rPr>
          <w:i/>
        </w:rPr>
        <w:t>veškeré jednotkové, jednorázové či paušální příspěvky nedostatečně doložené informacemi poskytnutými příjemcem za neoprávněně čerpané.</w:t>
      </w:r>
    </w:p>
    <w:p w:rsidR="007E2F59" w:rsidRPr="003C06B2" w:rsidRDefault="007E2F59" w:rsidP="007E2F59">
      <w:pPr>
        <w:ind w:left="720" w:hanging="720"/>
        <w:rPr>
          <w:i/>
        </w:rPr>
      </w:pPr>
    </w:p>
    <w:p w:rsidR="007E2F59" w:rsidRPr="00F86C1B" w:rsidRDefault="007E2F59" w:rsidP="007E2F59">
      <w:pPr>
        <w:ind w:left="720" w:hanging="720"/>
        <w:rPr>
          <w:i/>
        </w:rPr>
      </w:pPr>
      <w:r w:rsidRPr="00F86C1B">
        <w:rPr>
          <w:i/>
        </w:rPr>
        <w:t>II.27.5</w:t>
      </w:r>
      <w:r w:rsidRPr="00F86C1B">
        <w:rPr>
          <w:i/>
        </w:rPr>
        <w:tab/>
        <w:t>Řízení o sporných otázkách auditu</w:t>
      </w:r>
    </w:p>
    <w:p w:rsidR="007E2F59" w:rsidRPr="003C06B2" w:rsidRDefault="007E2F59" w:rsidP="007E2F59">
      <w:pPr>
        <w:ind w:left="720"/>
        <w:rPr>
          <w:i/>
        </w:rPr>
      </w:pPr>
      <w:r w:rsidRPr="00F86C1B">
        <w:rPr>
          <w:i/>
        </w:rPr>
        <w:t xml:space="preserve">Na základě auditních zjištění bude sepsána předběžná zpráva („návrh zprávy o auditu“). Komise nebo Agentura nebo jimi pověřený zástupce zašle tuto zprávu dotyčnému příjemci, který </w:t>
      </w:r>
      <w:r w:rsidRPr="00F86C1B">
        <w:rPr>
          <w:i/>
        </w:rPr>
        <w:lastRenderedPageBreak/>
        <w:t>může do 30 dnů od jejího obdržení vznést připomínky. Závěrečná zpráva („závěrečná zpráva o auditu“) bude zaslána dotyčnému příjemci do 60 dnů od uplynutí lhůty pro vznesení připomínek.</w:t>
      </w:r>
    </w:p>
    <w:p w:rsidR="007E2F59" w:rsidRPr="00F86C1B" w:rsidRDefault="007E2F59" w:rsidP="007E2F59">
      <w:pPr>
        <w:ind w:left="627"/>
        <w:rPr>
          <w:i/>
        </w:rPr>
      </w:pPr>
    </w:p>
    <w:p w:rsidR="007E2F59" w:rsidRPr="00F86C1B" w:rsidRDefault="007E2F59" w:rsidP="007E2F59">
      <w:pPr>
        <w:ind w:left="720" w:hanging="720"/>
        <w:rPr>
          <w:i/>
        </w:rPr>
      </w:pPr>
      <w:r w:rsidRPr="00F86C1B">
        <w:rPr>
          <w:i/>
        </w:rPr>
        <w:t>II.27.6</w:t>
      </w:r>
      <w:r w:rsidRPr="00F86C1B">
        <w:rPr>
          <w:i/>
        </w:rPr>
        <w:tab/>
        <w:t>Účinky auditních zjištění</w:t>
      </w:r>
    </w:p>
    <w:p w:rsidR="007E2F59" w:rsidRPr="00F86C1B" w:rsidRDefault="007E2F59" w:rsidP="007E2F59">
      <w:pPr>
        <w:ind w:left="720"/>
        <w:rPr>
          <w:i/>
        </w:rPr>
      </w:pPr>
      <w:r w:rsidRPr="00F86C1B">
        <w:rPr>
          <w:i/>
        </w:rPr>
        <w:t>Na základě auditních zjištění může Komise nebo Agentura přijmout opatření, jež bude považovat za nezbytná, včetně vymáhání celého nebo části zůstatku plateb, jež poskytla podle článku II.26, a to v okamžiku platby zůstatku nebo po platbě zůstatku.</w:t>
      </w:r>
    </w:p>
    <w:p w:rsidR="007E2F59" w:rsidRPr="003C06B2" w:rsidRDefault="007E2F59" w:rsidP="007E2F59">
      <w:pPr>
        <w:ind w:left="720"/>
        <w:rPr>
          <w:i/>
        </w:rPr>
      </w:pPr>
      <w:r w:rsidRPr="00F86C1B">
        <w:rPr>
          <w:i/>
        </w:rPr>
        <w:t>V případě auditních zjištění učiněných po platbě zůstatku musí vymáhaná částka odpovídat rozdílu mezi revidovanou konečnou výší grantu pro dotyčného příjemce stanovenou v souladu s článkem II.25 a celkovou částkou vyplacenou dotyčnému příjemci podle Grantové dohody na realizaci jeho činností.</w:t>
      </w:r>
    </w:p>
    <w:p w:rsidR="007E2F59" w:rsidRPr="00F86C1B" w:rsidRDefault="007E2F59" w:rsidP="007E2F59">
      <w:pPr>
        <w:ind w:left="627"/>
        <w:rPr>
          <w:i/>
        </w:rPr>
      </w:pPr>
    </w:p>
    <w:p w:rsidR="007E2F59" w:rsidRPr="00F86C1B" w:rsidRDefault="007E2F59" w:rsidP="007E2F59">
      <w:pPr>
        <w:ind w:left="720" w:hanging="720"/>
        <w:rPr>
          <w:i/>
        </w:rPr>
      </w:pPr>
      <w:r w:rsidRPr="00F86C1B">
        <w:rPr>
          <w:i/>
        </w:rPr>
        <w:t xml:space="preserve"> II.27.7</w:t>
      </w:r>
      <w:r w:rsidRPr="00F86C1B">
        <w:rPr>
          <w:i/>
        </w:rPr>
        <w:tab/>
        <w:t>Oprava systémových nebo opakujících se chyb, nesrovnalostí, podvodů či porušení povinností</w:t>
      </w:r>
    </w:p>
    <w:p w:rsidR="007E2F59" w:rsidRPr="00F86C1B" w:rsidRDefault="007E2F59" w:rsidP="007E2F59">
      <w:pPr>
        <w:ind w:left="1701" w:hanging="992"/>
        <w:rPr>
          <w:i/>
        </w:rPr>
      </w:pPr>
      <w:r w:rsidRPr="00F86C1B">
        <w:rPr>
          <w:i/>
        </w:rPr>
        <w:t xml:space="preserve"> II.27.7.1</w:t>
      </w:r>
      <w:r w:rsidRPr="00F86C1B">
        <w:rPr>
          <w:i/>
        </w:rPr>
        <w:tab/>
        <w:t>Komise nebo Agentura může přijmout veškerá opatření, jež považuje za nezbytná, včetně vymáhání celého nebo části zůstatku plateb, jež poskytla podle článku II.26 Grantové dohody, a to v okamžiku platby zůstatku nebo po platbě zůstatku, pokud budou splněny následující podmínky:</w:t>
      </w:r>
    </w:p>
    <w:p w:rsidR="007E2F59" w:rsidRPr="00F86C1B" w:rsidRDefault="007E2F59" w:rsidP="007E2F59">
      <w:pPr>
        <w:pStyle w:val="Odstavecseseznamem"/>
        <w:numPr>
          <w:ilvl w:val="0"/>
          <w:numId w:val="2"/>
        </w:numPr>
        <w:ind w:left="2067"/>
        <w:contextualSpacing w:val="0"/>
        <w:rPr>
          <w:i/>
        </w:rPr>
      </w:pPr>
      <w:r w:rsidRPr="00F86C1B">
        <w:rPr>
          <w:i/>
        </w:rPr>
        <w:t>o dotyčném příjemci se v souvislosti s auditem jiných grantů, jež mu byly uděleny na základě podobných podmínek, zjistilo, že se dopustil systémových nebo opakujících se chyb, nesrovnalostí, podvodů či porušení povinností, jež mají významný dopad na tento grant; a</w:t>
      </w:r>
    </w:p>
    <w:p w:rsidR="007E2F59" w:rsidRPr="00F86C1B" w:rsidRDefault="007E2F59" w:rsidP="007E2F59">
      <w:pPr>
        <w:pStyle w:val="Odstavecseseznamem"/>
        <w:numPr>
          <w:ilvl w:val="0"/>
          <w:numId w:val="2"/>
        </w:numPr>
        <w:ind w:left="2067"/>
        <w:contextualSpacing w:val="0"/>
        <w:rPr>
          <w:i/>
        </w:rPr>
      </w:pPr>
      <w:r w:rsidRPr="00F86C1B">
        <w:rPr>
          <w:i/>
        </w:rPr>
        <w:t>příjemce obdrží závěrečnou zprávu o auditu obsahující zjištění systémových nebo opakujících se chyb, nesrovnalostí, podvodů či porušení povinností, jež mají významný dopad na tento grant, ve lhůtě uvedené v článku II.27.1.</w:t>
      </w:r>
    </w:p>
    <w:p w:rsidR="007E2F59" w:rsidRPr="00F86C1B" w:rsidRDefault="007E2F59" w:rsidP="007E2F59">
      <w:pPr>
        <w:ind w:left="1701" w:hanging="992"/>
        <w:rPr>
          <w:i/>
        </w:rPr>
      </w:pPr>
      <w:r w:rsidRPr="00F86C1B">
        <w:rPr>
          <w:i/>
        </w:rPr>
        <w:t xml:space="preserve"> II.27.7.2</w:t>
      </w:r>
      <w:r w:rsidRPr="00F86C1B">
        <w:rPr>
          <w:i/>
        </w:rPr>
        <w:tab/>
        <w:t>Komise nebo Agentura stanoví částku, jejíž opravu</w:t>
      </w:r>
      <w:r w:rsidRPr="003C06B2">
        <w:rPr>
          <w:i/>
        </w:rPr>
        <w:t xml:space="preserve"> je třeba provést v souladu </w:t>
      </w:r>
      <w:r w:rsidRPr="00F86C1B">
        <w:rPr>
          <w:i/>
        </w:rPr>
        <w:t>s Grantovou dohodou:</w:t>
      </w:r>
    </w:p>
    <w:p w:rsidR="007E2F59" w:rsidRPr="00F86C1B" w:rsidRDefault="007E2F59" w:rsidP="007E2F59">
      <w:pPr>
        <w:pStyle w:val="Odstavecseseznamem"/>
        <w:numPr>
          <w:ilvl w:val="0"/>
          <w:numId w:val="3"/>
        </w:numPr>
        <w:ind w:left="2067"/>
        <w:contextualSpacing w:val="0"/>
        <w:rPr>
          <w:i/>
        </w:rPr>
      </w:pPr>
      <w:r w:rsidRPr="00F86C1B">
        <w:rPr>
          <w:i/>
        </w:rPr>
        <w:t>v případech, kdy to bude možné a proveditelné, na základě nákladů neoprávněně vykázaných jako způsobilé podle Grantové dohody.</w:t>
      </w:r>
    </w:p>
    <w:p w:rsidR="007E2F59" w:rsidRPr="00F86C1B" w:rsidRDefault="007E2F59" w:rsidP="007E2F59">
      <w:pPr>
        <w:pStyle w:val="Odstavecseseznamem"/>
        <w:ind w:left="2067"/>
        <w:contextualSpacing w:val="0"/>
        <w:rPr>
          <w:i/>
        </w:rPr>
      </w:pPr>
      <w:r w:rsidRPr="00F86C1B">
        <w:rPr>
          <w:i/>
        </w:rPr>
        <w:t>Za tímto účelem přepracuje dotyčný příjemce finanční výkazy předložené v souladu s Grantovou dohodou, přičemž zohlední příslušná zjištění a předloží přepracované finanční výkazy Komisi nebo Agentuře do 60 dnů od data přijetí závěrečné zprávy o auditu obsahující zjištění systémových nebo opakujících se chyb, nesrovnalostí, podvodů či porušení povinností.</w:t>
      </w:r>
    </w:p>
    <w:p w:rsidR="007E2F59" w:rsidRPr="00F86C1B" w:rsidRDefault="007E2F59" w:rsidP="007E2F59">
      <w:pPr>
        <w:pStyle w:val="Odstavecseseznamem"/>
        <w:ind w:left="2067"/>
        <w:contextualSpacing w:val="0"/>
        <w:rPr>
          <w:i/>
        </w:rPr>
      </w:pPr>
      <w:r w:rsidRPr="00F86C1B">
        <w:rPr>
          <w:i/>
        </w:rPr>
        <w:t>V případě zjištění systémových nebo opakujících se chyb, nesrovnalostí, podvodů či porušení povinností po provedení platby zůstatku, musí vymáhaná částka odpovídat rozdílu mezi revidovanou konečnou výší grantu uděleného dotyčnému příjemci, stanovenou v souladu s článkem II.25 na základě revidovaných způsobilých nákladů vykázaných příjemcem a schválených Komisí nebo Agenturou a celkovou částkou vyplacenou dotyčnému příjemci na základě Grantové dohody na realizaci jeho činností;</w:t>
      </w:r>
    </w:p>
    <w:p w:rsidR="007E2F59" w:rsidRPr="00F86C1B" w:rsidRDefault="007E2F59" w:rsidP="007E2F59">
      <w:pPr>
        <w:pStyle w:val="Odstavecseseznamem"/>
        <w:ind w:left="2067"/>
        <w:contextualSpacing w:val="0"/>
        <w:rPr>
          <w:i/>
        </w:rPr>
      </w:pPr>
    </w:p>
    <w:p w:rsidR="007E2F59" w:rsidRPr="00F86C1B" w:rsidRDefault="007E2F59" w:rsidP="007E2F59">
      <w:pPr>
        <w:pStyle w:val="Odstavecseseznamem"/>
        <w:numPr>
          <w:ilvl w:val="0"/>
          <w:numId w:val="3"/>
        </w:numPr>
        <w:ind w:left="2067"/>
        <w:contextualSpacing w:val="0"/>
        <w:rPr>
          <w:i/>
        </w:rPr>
      </w:pPr>
      <w:r w:rsidRPr="00F86C1B">
        <w:rPr>
          <w:i/>
        </w:rPr>
        <w:t>není-li možné nebo proveditelné vyčíslit přesnou částku nezpůsobilých nákladů podle Grantové dohody, na základě korekčního koeficientu pro extrapolaci aplikovaného na způsobilé náklady v případě grantů, u nichž byly zjištěny systémové nebo opakující se chyby nebo nesrovnalosti.</w:t>
      </w:r>
    </w:p>
    <w:p w:rsidR="007E2F59" w:rsidRPr="00F86C1B" w:rsidRDefault="007E2F59" w:rsidP="007E2F59">
      <w:pPr>
        <w:pStyle w:val="Odstavecseseznamem"/>
        <w:ind w:left="2067"/>
        <w:contextualSpacing w:val="0"/>
        <w:rPr>
          <w:i/>
        </w:rPr>
      </w:pPr>
      <w:r w:rsidRPr="00F86C1B">
        <w:rPr>
          <w:i/>
        </w:rPr>
        <w:t xml:space="preserve">Komise nebo Agentura zašle oficiální oznámení, jež bude obsahovat extrapolační metodu, již hodlá aplikovat, dotyčnému příjemci, který může do 60 </w:t>
      </w:r>
      <w:r w:rsidRPr="00F86C1B">
        <w:rPr>
          <w:i/>
        </w:rPr>
        <w:lastRenderedPageBreak/>
        <w:t>dnů od přijetí oznámení vznést připomínky a navrhnout řádně doložený alternativní způsob opravy.</w:t>
      </w:r>
    </w:p>
    <w:p w:rsidR="007E2F59" w:rsidRPr="00F86C1B" w:rsidRDefault="007E2F59" w:rsidP="007E2F59">
      <w:pPr>
        <w:pStyle w:val="Odstavecseseznamem"/>
        <w:ind w:left="2067"/>
        <w:contextualSpacing w:val="0"/>
        <w:rPr>
          <w:i/>
        </w:rPr>
      </w:pPr>
      <w:r w:rsidRPr="00F86C1B">
        <w:rPr>
          <w:i/>
        </w:rPr>
        <w:t>Jestliže Komise nebo Agentura schválí alternativní způsob opravy navržený příjemcem, zašle mu oficiální oznámení, že tento alternativní způsob opravy uplatňuje, a na základě uplatnění tohoto alternativního způsobu opravy stanoví revidovanou výši způsobilých nákladů.</w:t>
      </w:r>
    </w:p>
    <w:p w:rsidR="007E2F59" w:rsidRPr="00F86C1B" w:rsidRDefault="007E2F59" w:rsidP="007E2F59">
      <w:pPr>
        <w:pStyle w:val="Odstavecseseznamem"/>
        <w:ind w:left="2067"/>
        <w:contextualSpacing w:val="0"/>
        <w:rPr>
          <w:i/>
        </w:rPr>
      </w:pPr>
      <w:r w:rsidRPr="00F86C1B">
        <w:rPr>
          <w:i/>
        </w:rPr>
        <w:t>Neobdrží-li Komise nebo Agentura žádné připomínky, zamítne-li vznesené připomínky nebo příjemcem navrhovaný alternativní způsob opravy, zašle dotyčnému příjemci oficiální oznámení o této skutečnosti a stanoví výši revidovaných způsobilých nákladů při uplatnění extrapolační metody původně oznámené příjemci.</w:t>
      </w:r>
    </w:p>
    <w:p w:rsidR="007E2F59" w:rsidRPr="00F86C1B" w:rsidRDefault="007E2F59" w:rsidP="007E2F59">
      <w:pPr>
        <w:pStyle w:val="Odstavecseseznamem"/>
        <w:ind w:left="2067"/>
        <w:contextualSpacing w:val="0"/>
        <w:rPr>
          <w:i/>
        </w:rPr>
      </w:pPr>
      <w:r w:rsidRPr="00F86C1B">
        <w:rPr>
          <w:i/>
        </w:rPr>
        <w:t>V případě zjištění systémových nebo opakujících se chyb, nesrovnalostí, podvodů či porušení povinností po provedení platby zůstatku, musí vymáhaná částka odpovídat rozdílu mezi revidovanou konečnou výší grantu uděleného dotyčnému příjemci, stanovenou v souladu s článkem II.25 na základě revidovaných způsobilých nákladů po extrapolaci a celkovou částkou vyplacenou dotyčnému příjemci na základě Grantové dohody na realizaci jeho činností; nebo</w:t>
      </w:r>
    </w:p>
    <w:p w:rsidR="007E2F59" w:rsidRPr="00F86C1B" w:rsidRDefault="007E2F59" w:rsidP="007E2F59">
      <w:pPr>
        <w:pStyle w:val="Odstavecseseznamem"/>
        <w:ind w:left="2067"/>
        <w:contextualSpacing w:val="0"/>
        <w:rPr>
          <w:i/>
        </w:rPr>
      </w:pPr>
      <w:r w:rsidRPr="00F86C1B">
        <w:rPr>
          <w:i/>
        </w:rPr>
        <w:t xml:space="preserve"> </w:t>
      </w:r>
    </w:p>
    <w:p w:rsidR="007E2F59" w:rsidRPr="00F86C1B" w:rsidRDefault="007E2F59" w:rsidP="007E2F59">
      <w:pPr>
        <w:pStyle w:val="Odstavecseseznamem"/>
        <w:numPr>
          <w:ilvl w:val="0"/>
          <w:numId w:val="3"/>
        </w:numPr>
        <w:ind w:left="2067"/>
        <w:contextualSpacing w:val="0"/>
        <w:rPr>
          <w:i/>
        </w:rPr>
      </w:pPr>
      <w:r w:rsidRPr="00F86C1B">
        <w:rPr>
          <w:i/>
        </w:rPr>
        <w:t>není-li možné použít nezpůsobilé náklady jako východisko pro stanovení částky, již je nutné opravit, uplatněním opravy paušální sazby na maximální výši grantu uvedenou v článku 3 nebo jeho části, při zachování zásady proporcionality.</w:t>
      </w:r>
    </w:p>
    <w:p w:rsidR="007E2F59" w:rsidRPr="00F86C1B" w:rsidRDefault="007E2F59" w:rsidP="007E2F59">
      <w:pPr>
        <w:pStyle w:val="Odstavecseseznamem"/>
        <w:ind w:left="2067"/>
        <w:contextualSpacing w:val="0"/>
        <w:rPr>
          <w:i/>
        </w:rPr>
      </w:pPr>
      <w:r w:rsidRPr="00F86C1B">
        <w:rPr>
          <w:i/>
        </w:rPr>
        <w:t>Komise nebo Agentura zašle oficiální oznámení o paušální sazbě, kterou hodlá použít, dotyčnému příjemci, který může do 60 dnů od data přijetí tohoto oznámení vznést připomínky a navrhnout řádně doloženou alternativní paušální sazbu.</w:t>
      </w:r>
    </w:p>
    <w:p w:rsidR="007E2F59" w:rsidRPr="00F86C1B" w:rsidRDefault="007E2F59" w:rsidP="007E2F59">
      <w:pPr>
        <w:pStyle w:val="Odstavecseseznamem"/>
        <w:ind w:left="2067"/>
        <w:contextualSpacing w:val="0"/>
        <w:rPr>
          <w:i/>
        </w:rPr>
      </w:pPr>
      <w:r w:rsidRPr="00F86C1B">
        <w:rPr>
          <w:i/>
        </w:rPr>
        <w:t>Jestliže Komise schválí alternativní paušální sazbu navrženou příjemcem, zašle mu oficiální oznámení, že tuto schválenou alternativní paušální sazbu uplatňuje a na jejím základě opraví výši grantu.</w:t>
      </w:r>
    </w:p>
    <w:p w:rsidR="007E2F59" w:rsidRPr="00F86C1B" w:rsidRDefault="007E2F59" w:rsidP="007E2F59">
      <w:pPr>
        <w:pStyle w:val="Odstavecseseznamem"/>
        <w:ind w:left="2067"/>
        <w:contextualSpacing w:val="0"/>
        <w:rPr>
          <w:i/>
        </w:rPr>
      </w:pPr>
      <w:r w:rsidRPr="00F86C1B">
        <w:rPr>
          <w:i/>
        </w:rPr>
        <w:t>Neobdrží-li Komise nebo Agentura žádné připomínky, zamítne-li vznesené připomínky nebo příjemcem navrhovanou alternativní paušální sazbu, zašle dotyčnému příjemci oficiální oznámení o této skutečnosti a opraví výši grantu při uplatnění paušální sazby původně oznámené příjemci.</w:t>
      </w:r>
    </w:p>
    <w:p w:rsidR="007E2F59" w:rsidRPr="00F86C1B" w:rsidRDefault="007E2F59" w:rsidP="007E2F59">
      <w:pPr>
        <w:pStyle w:val="Odstavecseseznamem"/>
        <w:ind w:left="2067"/>
        <w:contextualSpacing w:val="0"/>
        <w:rPr>
          <w:i/>
        </w:rPr>
      </w:pPr>
    </w:p>
    <w:p w:rsidR="007E2F59" w:rsidRPr="00F86C1B" w:rsidRDefault="007E2F59" w:rsidP="007E2F59">
      <w:pPr>
        <w:pStyle w:val="Odstavecseseznamem"/>
        <w:ind w:left="2067"/>
        <w:contextualSpacing w:val="0"/>
        <w:rPr>
          <w:i/>
        </w:rPr>
      </w:pPr>
      <w:r w:rsidRPr="00F86C1B">
        <w:rPr>
          <w:i/>
        </w:rPr>
        <w:t>V případě zjištění systémových nebo opakujících se chyb, nesrovnalostí, podvodů či porušení povinností po provedení platby zůstatku, musí vymáhaná částka odpovídat rozdílu mezi revidovanou konečnou výší grantu uděleného dotyčnému příjemci po opravě paušální sazby a celkovou částkou vyplacenou dotyčnému příjemci na základě Grantové dohody na realizaci jeho činností.</w:t>
      </w:r>
    </w:p>
    <w:p w:rsidR="007E2F59" w:rsidRPr="00F86C1B" w:rsidRDefault="007E2F59" w:rsidP="007E2F59">
      <w:pPr>
        <w:pStyle w:val="Odstavecseseznamem"/>
        <w:ind w:left="2067"/>
        <w:contextualSpacing w:val="0"/>
        <w:rPr>
          <w:i/>
        </w:rPr>
      </w:pPr>
    </w:p>
    <w:p w:rsidR="007E2F59" w:rsidRPr="00F86C1B" w:rsidRDefault="007E2F59" w:rsidP="007E2F59">
      <w:pPr>
        <w:ind w:left="720" w:hanging="720"/>
        <w:rPr>
          <w:i/>
        </w:rPr>
      </w:pPr>
      <w:r w:rsidRPr="00F86C1B">
        <w:rPr>
          <w:i/>
        </w:rPr>
        <w:t>II.27.8</w:t>
      </w:r>
      <w:r w:rsidRPr="00F86C1B">
        <w:rPr>
          <w:i/>
        </w:rPr>
        <w:tab/>
        <w:t>Kontroly a inspekce OLAF</w:t>
      </w:r>
    </w:p>
    <w:p w:rsidR="007E2F59" w:rsidRPr="00F86C1B" w:rsidRDefault="007E2F59" w:rsidP="007E2F59">
      <w:pPr>
        <w:ind w:left="720"/>
        <w:rPr>
          <w:i/>
        </w:rPr>
      </w:pPr>
      <w:r w:rsidRPr="00F86C1B">
        <w:rPr>
          <w:i/>
        </w:rPr>
        <w:t>Evropský úřad pro boj proti podvodům (OLAF) má stejná práva jako Komise a Agentura, zejména přístupové právo pro účely provádění kontrol a šetření.</w:t>
      </w:r>
    </w:p>
    <w:p w:rsidR="007E2F59" w:rsidRPr="00F86C1B" w:rsidRDefault="007E2F59" w:rsidP="007E2F59">
      <w:pPr>
        <w:ind w:left="720"/>
        <w:rPr>
          <w:bCs/>
          <w:i/>
        </w:rPr>
      </w:pPr>
      <w:r w:rsidRPr="00F86C1B">
        <w:rPr>
          <w:i/>
        </w:rPr>
        <w:t>Na základě Nařízení Rady (Euratom, ES) č. 2185/96</w:t>
      </w:r>
      <w:r w:rsidRPr="00F86C1B">
        <w:rPr>
          <w:rStyle w:val="Znakapoznpodarou"/>
          <w:i/>
        </w:rPr>
        <w:footnoteReference w:id="8"/>
      </w:r>
      <w:r w:rsidRPr="00F86C1B">
        <w:rPr>
          <w:i/>
        </w:rPr>
        <w:t xml:space="preserve"> ze dne 11. prosince 1996 o kontrolách a inspekcích na místě prováděných Komisí za účelem ochrany finančních zájmů Evropských společenství proti podvodům a jiným nesrovnalostem a </w:t>
      </w:r>
      <w:r w:rsidRPr="00F86C1B">
        <w:rPr>
          <w:bCs/>
          <w:i/>
        </w:rPr>
        <w:t xml:space="preserve">Nařízení Evropského parlamentu a Rady </w:t>
      </w:r>
      <w:r w:rsidRPr="00F86C1B">
        <w:rPr>
          <w:bCs/>
          <w:i/>
        </w:rPr>
        <w:lastRenderedPageBreak/>
        <w:t>(EU, Euratom) č. 883/2013 ze dne 11. září 2013</w:t>
      </w:r>
      <w:r w:rsidRPr="00F86C1B">
        <w:rPr>
          <w:rStyle w:val="Znakapoznpodarou"/>
          <w:bCs/>
          <w:i/>
        </w:rPr>
        <w:footnoteReference w:id="9"/>
      </w:r>
      <w:r w:rsidRPr="00F86C1B">
        <w:rPr>
          <w:bCs/>
          <w:i/>
        </w:rPr>
        <w:t xml:space="preserve"> o vyšetřování prováděném Evropským úřadem pro boj proti podvodům (OLAF) je Evropský úřad pro boj proti podvodům rovněž oprávněn provádět kontroly a inspekce na místě v souladu s postupy stanovenými unijním právem na ochranu finančních zájmů Unie před podvody a jinými nesrovnalostmi.</w:t>
      </w:r>
    </w:p>
    <w:p w:rsidR="007E2F59" w:rsidRPr="003C06B2" w:rsidRDefault="007E2F59" w:rsidP="007E2F59">
      <w:pPr>
        <w:ind w:left="720"/>
        <w:rPr>
          <w:bCs/>
          <w:i/>
        </w:rPr>
      </w:pPr>
      <w:r w:rsidRPr="00F86C1B">
        <w:rPr>
          <w:bCs/>
          <w:i/>
        </w:rPr>
        <w:t>V příslušných případech mohou vést zjištění učiněná Evropským úřadem pro boj proti podvodům (OLAF) k vymáhání ze strany Agentury. Mohou vést rovněž k trestnímu stíhání podle vnitrostátní legislativy.</w:t>
      </w:r>
    </w:p>
    <w:p w:rsidR="007E2F59" w:rsidRPr="00F86C1B" w:rsidRDefault="007E2F59" w:rsidP="007E2F59">
      <w:pPr>
        <w:ind w:left="720"/>
        <w:rPr>
          <w:i/>
        </w:rPr>
      </w:pPr>
    </w:p>
    <w:p w:rsidR="007E2F59" w:rsidRPr="00F86C1B" w:rsidRDefault="007E2F59" w:rsidP="007E2F59">
      <w:pPr>
        <w:ind w:left="720" w:hanging="720"/>
        <w:rPr>
          <w:i/>
        </w:rPr>
      </w:pPr>
      <w:r w:rsidRPr="00F86C1B">
        <w:rPr>
          <w:i/>
        </w:rPr>
        <w:t>II.27.9</w:t>
      </w:r>
      <w:r w:rsidRPr="00F86C1B">
        <w:rPr>
          <w:i/>
        </w:rPr>
        <w:tab/>
        <w:t>Kontroly a audity Evropského účetního dvora</w:t>
      </w:r>
    </w:p>
    <w:p w:rsidR="007E2F59" w:rsidRPr="00F86C1B" w:rsidRDefault="007E2F59" w:rsidP="007E2F59">
      <w:pPr>
        <w:ind w:left="720"/>
        <w:rPr>
          <w:i/>
        </w:rPr>
      </w:pPr>
      <w:r w:rsidRPr="00F86C1B">
        <w:rPr>
          <w:i/>
        </w:rPr>
        <w:t>Evropský účetní dvůr má stejná práva jako Agentura a Komise, zejména přístupové právo pro účely provádění kontrol a auditů.</w:t>
      </w:r>
    </w:p>
    <w:p w:rsidR="009560A4" w:rsidRDefault="009560A4">
      <w:bookmarkStart w:id="0" w:name="_GoBack"/>
      <w:bookmarkEnd w:id="0"/>
    </w:p>
    <w:sectPr w:rsidR="009560A4" w:rsidSect="000D6F14">
      <w:footerReference w:type="default" r:id="rId10"/>
      <w:pgSz w:w="11907" w:h="16840" w:code="9"/>
      <w:pgMar w:top="1418" w:right="1418" w:bottom="1418"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1D3B" w:rsidRDefault="00BD1D3B" w:rsidP="007E2F59">
      <w:pPr>
        <w:spacing w:before="0" w:after="0"/>
      </w:pPr>
      <w:r>
        <w:separator/>
      </w:r>
    </w:p>
  </w:endnote>
  <w:endnote w:type="continuationSeparator" w:id="0">
    <w:p w:rsidR="00BD1D3B" w:rsidRDefault="00BD1D3B" w:rsidP="007E2F5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3EF4" w:rsidRPr="000F1DF5" w:rsidRDefault="00A321DB" w:rsidP="00115C64">
    <w:pPr>
      <w:pStyle w:val="Zpat"/>
      <w:tabs>
        <w:tab w:val="clear" w:pos="4703"/>
        <w:tab w:val="clear" w:pos="9406"/>
      </w:tabs>
      <w:jc w:val="right"/>
      <w:rPr>
        <w:rFonts w:ascii="Arial" w:hAnsi="Arial" w:cs="Arial"/>
        <w:b/>
        <w:sz w:val="15"/>
        <w:szCs w:val="15"/>
      </w:rPr>
    </w:pPr>
    <w:r>
      <w:tab/>
    </w:r>
    <w:r>
      <w:tab/>
    </w:r>
    <w:r w:rsidRPr="000F1DF5">
      <w:rPr>
        <w:rStyle w:val="slostrnky"/>
        <w:rFonts w:ascii="Arial" w:hAnsi="Arial" w:cs="Arial"/>
        <w:b/>
        <w:sz w:val="15"/>
        <w:szCs w:val="15"/>
      </w:rPr>
      <w:fldChar w:fldCharType="begin"/>
    </w:r>
    <w:r w:rsidRPr="000F1DF5">
      <w:rPr>
        <w:rStyle w:val="slostrnky"/>
        <w:rFonts w:ascii="Arial" w:hAnsi="Arial" w:cs="Arial"/>
        <w:b/>
        <w:sz w:val="15"/>
        <w:szCs w:val="15"/>
      </w:rPr>
      <w:instrText xml:space="preserve"> PAGE </w:instrText>
    </w:r>
    <w:r w:rsidRPr="000F1DF5">
      <w:rPr>
        <w:rStyle w:val="slostrnky"/>
        <w:rFonts w:ascii="Arial" w:hAnsi="Arial" w:cs="Arial"/>
        <w:b/>
        <w:sz w:val="15"/>
        <w:szCs w:val="15"/>
      </w:rPr>
      <w:fldChar w:fldCharType="separate"/>
    </w:r>
    <w:r w:rsidR="004530E0">
      <w:rPr>
        <w:rStyle w:val="slostrnky"/>
        <w:rFonts w:ascii="Arial" w:hAnsi="Arial" w:cs="Arial"/>
        <w:b/>
        <w:noProof/>
        <w:sz w:val="15"/>
        <w:szCs w:val="15"/>
      </w:rPr>
      <w:t>8</w:t>
    </w:r>
    <w:r w:rsidRPr="000F1DF5">
      <w:rPr>
        <w:rStyle w:val="slostrnky"/>
        <w:rFonts w:ascii="Arial" w:hAnsi="Arial" w:cs="Arial"/>
        <w:b/>
        <w:sz w:val="15"/>
        <w:szCs w:val="15"/>
      </w:rPr>
      <w:fldChar w:fldCharType="end"/>
    </w:r>
    <w:r w:rsidRPr="000F1DF5">
      <w:rPr>
        <w:rStyle w:val="slostrnky"/>
        <w:rFonts w:ascii="Arial" w:hAnsi="Arial" w:cs="Arial"/>
        <w:b/>
        <w:sz w:val="15"/>
        <w:szCs w:val="15"/>
      </w:rPr>
      <w:t xml:space="preserve"> / </w:t>
    </w:r>
    <w:r w:rsidRPr="000F1DF5">
      <w:rPr>
        <w:rStyle w:val="slostrnky"/>
        <w:rFonts w:ascii="Arial" w:hAnsi="Arial" w:cs="Arial"/>
        <w:b/>
        <w:sz w:val="15"/>
        <w:szCs w:val="15"/>
      </w:rPr>
      <w:fldChar w:fldCharType="begin"/>
    </w:r>
    <w:r w:rsidRPr="000F1DF5">
      <w:rPr>
        <w:rStyle w:val="slostrnky"/>
        <w:rFonts w:ascii="Arial" w:hAnsi="Arial" w:cs="Arial"/>
        <w:b/>
        <w:sz w:val="15"/>
        <w:szCs w:val="15"/>
      </w:rPr>
      <w:instrText xml:space="preserve"> NUMPAGES </w:instrText>
    </w:r>
    <w:r w:rsidRPr="000F1DF5">
      <w:rPr>
        <w:rStyle w:val="slostrnky"/>
        <w:rFonts w:ascii="Arial" w:hAnsi="Arial" w:cs="Arial"/>
        <w:b/>
        <w:sz w:val="15"/>
        <w:szCs w:val="15"/>
      </w:rPr>
      <w:fldChar w:fldCharType="separate"/>
    </w:r>
    <w:r w:rsidR="004530E0">
      <w:rPr>
        <w:rStyle w:val="slostrnky"/>
        <w:rFonts w:ascii="Arial" w:hAnsi="Arial" w:cs="Arial"/>
        <w:b/>
        <w:noProof/>
        <w:sz w:val="15"/>
        <w:szCs w:val="15"/>
      </w:rPr>
      <w:t>8</w:t>
    </w:r>
    <w:r w:rsidRPr="000F1DF5">
      <w:rPr>
        <w:rStyle w:val="slostrnky"/>
        <w:rFonts w:ascii="Arial" w:hAnsi="Arial" w:cs="Arial"/>
        <w:b/>
        <w:sz w:val="15"/>
        <w:szCs w:val="1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1D3B" w:rsidRDefault="00BD1D3B" w:rsidP="007E2F59">
      <w:pPr>
        <w:spacing w:before="0" w:after="0"/>
      </w:pPr>
      <w:r>
        <w:separator/>
      </w:r>
    </w:p>
  </w:footnote>
  <w:footnote w:type="continuationSeparator" w:id="0">
    <w:p w:rsidR="00BD1D3B" w:rsidRDefault="00BD1D3B" w:rsidP="007E2F59">
      <w:pPr>
        <w:spacing w:before="0" w:after="0"/>
      </w:pPr>
      <w:r>
        <w:continuationSeparator/>
      </w:r>
    </w:p>
  </w:footnote>
  <w:footnote w:id="1">
    <w:p w:rsidR="007E2F59" w:rsidRDefault="007E2F59" w:rsidP="007E2F59">
      <w:pPr>
        <w:pStyle w:val="Textpoznpodarou"/>
      </w:pPr>
      <w:r>
        <w:rPr>
          <w:rStyle w:val="Znakapoznpodarou"/>
        </w:rPr>
        <w:footnoteRef/>
      </w:r>
      <w:r>
        <w:t xml:space="preserve"> K výkladu tohoto ustanovení Grantové dohody platí výklad uvedený v článku</w:t>
      </w:r>
      <w:r w:rsidR="006302CB">
        <w:t xml:space="preserve"> 8 této Přílohy 4</w:t>
      </w:r>
      <w:r>
        <w:t xml:space="preserve"> Smlouvy.</w:t>
      </w:r>
    </w:p>
  </w:footnote>
  <w:footnote w:id="2">
    <w:p w:rsidR="007E2F59" w:rsidRDefault="007E2F59" w:rsidP="007E2F59">
      <w:pPr>
        <w:pStyle w:val="Textpoznpodarou"/>
      </w:pPr>
      <w:r>
        <w:rPr>
          <w:rStyle w:val="Znakapoznpodarou"/>
        </w:rPr>
        <w:footnoteRef/>
      </w:r>
      <w:r w:rsidR="006302CB">
        <w:t xml:space="preserve"> Obdobné platí i pro p</w:t>
      </w:r>
      <w:r>
        <w:t>oddodavatele v ro</w:t>
      </w:r>
      <w:r w:rsidR="006302CB">
        <w:t>zsahu jím realizované části činností dle této Smlouvy</w:t>
      </w:r>
      <w:r>
        <w:t>.</w:t>
      </w:r>
    </w:p>
  </w:footnote>
  <w:footnote w:id="3">
    <w:p w:rsidR="007E2F59" w:rsidRPr="003C06B2" w:rsidRDefault="007E2F59" w:rsidP="007E2F59">
      <w:pPr>
        <w:pStyle w:val="Textpoznpodarou"/>
      </w:pPr>
      <w:r>
        <w:rPr>
          <w:rStyle w:val="Znakapoznpodarou"/>
        </w:rPr>
        <w:footnoteRef/>
      </w:r>
      <w:r>
        <w:t xml:space="preserve"> </w:t>
      </w:r>
      <w:r w:rsidRPr="003C06B2">
        <w:t>Neexistující odkaz Grantové dohody.</w:t>
      </w:r>
    </w:p>
  </w:footnote>
  <w:footnote w:id="4">
    <w:p w:rsidR="007E2F59" w:rsidRPr="003C06B2" w:rsidRDefault="007E2F59" w:rsidP="007E2F59">
      <w:r w:rsidRPr="006D1771">
        <w:rPr>
          <w:vertAlign w:val="superscript"/>
        </w:rPr>
        <w:footnoteRef/>
      </w:r>
      <w:r w:rsidRPr="003C06B2">
        <w:rPr>
          <w:sz w:val="18"/>
          <w:szCs w:val="20"/>
        </w:rPr>
        <w:t xml:space="preserve"> </w:t>
      </w:r>
      <w:r w:rsidRPr="00A00535">
        <w:rPr>
          <w:sz w:val="18"/>
          <w:szCs w:val="20"/>
        </w:rPr>
        <w:t>Článek II. 3 Grantové dohody – Odpovědnost za škody</w:t>
      </w:r>
    </w:p>
  </w:footnote>
  <w:footnote w:id="5">
    <w:p w:rsidR="007E2F59" w:rsidRPr="00A00535" w:rsidRDefault="007E2F59" w:rsidP="007E2F59">
      <w:pPr>
        <w:pStyle w:val="Textpoznpodarou"/>
        <w:rPr>
          <w:i/>
        </w:rPr>
      </w:pPr>
      <w:r w:rsidRPr="003C06B2">
        <w:rPr>
          <w:rStyle w:val="Znakapoznpodarou"/>
        </w:rPr>
        <w:footnoteRef/>
      </w:r>
      <w:r w:rsidRPr="003C06B2">
        <w:t xml:space="preserve"> Článek 11 Zvláštních podmínek Grantové dohody: </w:t>
      </w:r>
      <w:r w:rsidRPr="00A00535">
        <w:rPr>
          <w:i/>
        </w:rPr>
        <w:t>Příjemci musí zajistit, že Agentura bude mít práva:</w:t>
      </w:r>
    </w:p>
    <w:p w:rsidR="007E2F59" w:rsidRPr="00A00535" w:rsidRDefault="007E2F59" w:rsidP="007E2F59">
      <w:pPr>
        <w:pStyle w:val="Textpoznpodarou"/>
        <w:numPr>
          <w:ilvl w:val="0"/>
          <w:numId w:val="5"/>
        </w:numPr>
        <w:rPr>
          <w:i/>
        </w:rPr>
      </w:pPr>
      <w:r w:rsidRPr="00A00535">
        <w:rPr>
          <w:i/>
        </w:rPr>
        <w:t xml:space="preserve">shrnout výsledky </w:t>
      </w:r>
      <w:r w:rsidRPr="003C06B2">
        <w:rPr>
          <w:i/>
        </w:rPr>
        <w:t xml:space="preserve">Projektu </w:t>
      </w:r>
      <w:r w:rsidRPr="00A00535">
        <w:rPr>
          <w:i/>
        </w:rPr>
        <w:t>a tento souhrn distribuovat;</w:t>
      </w:r>
    </w:p>
    <w:p w:rsidR="007E2F59" w:rsidRPr="00A00535" w:rsidRDefault="007E2F59" w:rsidP="007E2F59">
      <w:pPr>
        <w:pStyle w:val="Textpoznpodarou"/>
        <w:numPr>
          <w:ilvl w:val="0"/>
          <w:numId w:val="5"/>
        </w:numPr>
        <w:rPr>
          <w:i/>
        </w:rPr>
      </w:pPr>
      <w:r w:rsidRPr="00A00535">
        <w:rPr>
          <w:i/>
        </w:rPr>
        <w:t>extrahovat část</w:t>
      </w:r>
      <w:r w:rsidRPr="003C06B2">
        <w:rPr>
          <w:i/>
        </w:rPr>
        <w:t xml:space="preserve"> souhrnu</w:t>
      </w:r>
      <w:r w:rsidRPr="00A00535">
        <w:rPr>
          <w:i/>
        </w:rPr>
        <w:t xml:space="preserve"> (například zvukové nebo video soubory), rozdělit </w:t>
      </w:r>
      <w:r w:rsidRPr="003C06B2">
        <w:rPr>
          <w:i/>
        </w:rPr>
        <w:t xml:space="preserve">jej </w:t>
      </w:r>
      <w:r w:rsidRPr="00A00535">
        <w:rPr>
          <w:i/>
        </w:rPr>
        <w:t xml:space="preserve">na části nebo kompilovat výsledky </w:t>
      </w:r>
      <w:r w:rsidRPr="003C06B2">
        <w:rPr>
          <w:i/>
        </w:rPr>
        <w:t>Projektu.</w:t>
      </w:r>
    </w:p>
  </w:footnote>
  <w:footnote w:id="6">
    <w:p w:rsidR="007E2F59" w:rsidRPr="00A00535" w:rsidRDefault="007E2F59" w:rsidP="007E2F59">
      <w:pPr>
        <w:pStyle w:val="Textpoznpodarou"/>
        <w:rPr>
          <w:i/>
        </w:rPr>
      </w:pPr>
      <w:r w:rsidRPr="006D1771">
        <w:rPr>
          <w:vertAlign w:val="superscript"/>
        </w:rPr>
        <w:footnoteRef/>
      </w:r>
      <w:r w:rsidRPr="006D1771">
        <w:rPr>
          <w:vertAlign w:val="superscript"/>
        </w:rPr>
        <w:t xml:space="preserve"> </w:t>
      </w:r>
      <w:r w:rsidRPr="003C06B2">
        <w:t xml:space="preserve">Viz poznámka pod čarou č. </w:t>
      </w:r>
      <w:r>
        <w:t>5</w:t>
      </w:r>
      <w:r w:rsidRPr="003C06B2">
        <w:t>.</w:t>
      </w:r>
    </w:p>
  </w:footnote>
  <w:footnote w:id="7">
    <w:p w:rsidR="007E2F59" w:rsidRDefault="007E2F59" w:rsidP="007E2F59">
      <w:pPr>
        <w:pStyle w:val="Textpoznpodarou"/>
      </w:pPr>
      <w:r>
        <w:rPr>
          <w:rStyle w:val="Znakapoznpodarou"/>
        </w:rPr>
        <w:footnoteRef/>
      </w:r>
      <w:r>
        <w:t xml:space="preserve"> V případě Projektu maximální částka uvedená v čl. 3 překročí 60 000 EUR.</w:t>
      </w:r>
    </w:p>
  </w:footnote>
  <w:footnote w:id="8">
    <w:p w:rsidR="007E2F59" w:rsidRDefault="007E2F59" w:rsidP="007E2F59">
      <w:pPr>
        <w:pStyle w:val="Textpoznpodarou"/>
      </w:pPr>
      <w:r>
        <w:rPr>
          <w:rStyle w:val="Znakapoznpodarou"/>
        </w:rPr>
        <w:footnoteRef/>
      </w:r>
      <w:r>
        <w:t xml:space="preserve"> OJ L 292, 15.11.1996, s. 2</w:t>
      </w:r>
    </w:p>
  </w:footnote>
  <w:footnote w:id="9">
    <w:p w:rsidR="007E2F59" w:rsidRDefault="007E2F59" w:rsidP="007E2F59">
      <w:pPr>
        <w:pStyle w:val="Textpoznpodarou"/>
      </w:pPr>
      <w:r>
        <w:rPr>
          <w:rStyle w:val="Znakapoznpodarou"/>
        </w:rPr>
        <w:footnoteRef/>
      </w:r>
      <w:r>
        <w:t xml:space="preserve"> OJ L 248, 18.09.2013, s. 1</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175B58"/>
    <w:multiLevelType w:val="hybridMultilevel"/>
    <w:tmpl w:val="D8469558"/>
    <w:lvl w:ilvl="0" w:tplc="E79E54BA">
      <w:start w:val="1"/>
      <w:numFmt w:val="lowerLetter"/>
      <w:lvlText w:val="(%1)"/>
      <w:lvlJc w:val="left"/>
      <w:pPr>
        <w:ind w:left="420" w:hanging="360"/>
      </w:pPr>
      <w:rPr>
        <w:rFonts w:hint="default"/>
      </w:rPr>
    </w:lvl>
    <w:lvl w:ilvl="1" w:tplc="04050019" w:tentative="1">
      <w:start w:val="1"/>
      <w:numFmt w:val="lowerLetter"/>
      <w:lvlText w:val="%2."/>
      <w:lvlJc w:val="left"/>
      <w:pPr>
        <w:ind w:left="1140" w:hanging="360"/>
      </w:pPr>
    </w:lvl>
    <w:lvl w:ilvl="2" w:tplc="0405001B" w:tentative="1">
      <w:start w:val="1"/>
      <w:numFmt w:val="lowerRoman"/>
      <w:lvlText w:val="%3."/>
      <w:lvlJc w:val="right"/>
      <w:pPr>
        <w:ind w:left="1860" w:hanging="180"/>
      </w:pPr>
    </w:lvl>
    <w:lvl w:ilvl="3" w:tplc="0405000F" w:tentative="1">
      <w:start w:val="1"/>
      <w:numFmt w:val="decimal"/>
      <w:lvlText w:val="%4."/>
      <w:lvlJc w:val="left"/>
      <w:pPr>
        <w:ind w:left="2580" w:hanging="360"/>
      </w:pPr>
    </w:lvl>
    <w:lvl w:ilvl="4" w:tplc="04050019" w:tentative="1">
      <w:start w:val="1"/>
      <w:numFmt w:val="lowerLetter"/>
      <w:lvlText w:val="%5."/>
      <w:lvlJc w:val="left"/>
      <w:pPr>
        <w:ind w:left="3300" w:hanging="360"/>
      </w:pPr>
    </w:lvl>
    <w:lvl w:ilvl="5" w:tplc="0405001B" w:tentative="1">
      <w:start w:val="1"/>
      <w:numFmt w:val="lowerRoman"/>
      <w:lvlText w:val="%6."/>
      <w:lvlJc w:val="right"/>
      <w:pPr>
        <w:ind w:left="4020" w:hanging="180"/>
      </w:pPr>
    </w:lvl>
    <w:lvl w:ilvl="6" w:tplc="0405000F" w:tentative="1">
      <w:start w:val="1"/>
      <w:numFmt w:val="decimal"/>
      <w:lvlText w:val="%7."/>
      <w:lvlJc w:val="left"/>
      <w:pPr>
        <w:ind w:left="4740" w:hanging="360"/>
      </w:pPr>
    </w:lvl>
    <w:lvl w:ilvl="7" w:tplc="04050019" w:tentative="1">
      <w:start w:val="1"/>
      <w:numFmt w:val="lowerLetter"/>
      <w:lvlText w:val="%8."/>
      <w:lvlJc w:val="left"/>
      <w:pPr>
        <w:ind w:left="5460" w:hanging="360"/>
      </w:pPr>
    </w:lvl>
    <w:lvl w:ilvl="8" w:tplc="0405001B" w:tentative="1">
      <w:start w:val="1"/>
      <w:numFmt w:val="lowerRoman"/>
      <w:lvlText w:val="%9."/>
      <w:lvlJc w:val="right"/>
      <w:pPr>
        <w:ind w:left="6180" w:hanging="180"/>
      </w:pPr>
    </w:lvl>
  </w:abstractNum>
  <w:abstractNum w:abstractNumId="1">
    <w:nsid w:val="20FF1D83"/>
    <w:multiLevelType w:val="hybridMultilevel"/>
    <w:tmpl w:val="D8469558"/>
    <w:lvl w:ilvl="0" w:tplc="E79E54BA">
      <w:start w:val="1"/>
      <w:numFmt w:val="lowerLetter"/>
      <w:lvlText w:val="(%1)"/>
      <w:lvlJc w:val="left"/>
      <w:pPr>
        <w:ind w:left="420" w:hanging="360"/>
      </w:pPr>
      <w:rPr>
        <w:rFonts w:hint="default"/>
      </w:rPr>
    </w:lvl>
    <w:lvl w:ilvl="1" w:tplc="04050019" w:tentative="1">
      <w:start w:val="1"/>
      <w:numFmt w:val="lowerLetter"/>
      <w:lvlText w:val="%2."/>
      <w:lvlJc w:val="left"/>
      <w:pPr>
        <w:ind w:left="1140" w:hanging="360"/>
      </w:pPr>
    </w:lvl>
    <w:lvl w:ilvl="2" w:tplc="0405001B" w:tentative="1">
      <w:start w:val="1"/>
      <w:numFmt w:val="lowerRoman"/>
      <w:lvlText w:val="%3."/>
      <w:lvlJc w:val="right"/>
      <w:pPr>
        <w:ind w:left="1860" w:hanging="180"/>
      </w:pPr>
    </w:lvl>
    <w:lvl w:ilvl="3" w:tplc="0405000F" w:tentative="1">
      <w:start w:val="1"/>
      <w:numFmt w:val="decimal"/>
      <w:lvlText w:val="%4."/>
      <w:lvlJc w:val="left"/>
      <w:pPr>
        <w:ind w:left="2580" w:hanging="360"/>
      </w:pPr>
    </w:lvl>
    <w:lvl w:ilvl="4" w:tplc="04050019" w:tentative="1">
      <w:start w:val="1"/>
      <w:numFmt w:val="lowerLetter"/>
      <w:lvlText w:val="%5."/>
      <w:lvlJc w:val="left"/>
      <w:pPr>
        <w:ind w:left="3300" w:hanging="360"/>
      </w:pPr>
    </w:lvl>
    <w:lvl w:ilvl="5" w:tplc="0405001B" w:tentative="1">
      <w:start w:val="1"/>
      <w:numFmt w:val="lowerRoman"/>
      <w:lvlText w:val="%6."/>
      <w:lvlJc w:val="right"/>
      <w:pPr>
        <w:ind w:left="4020" w:hanging="180"/>
      </w:pPr>
    </w:lvl>
    <w:lvl w:ilvl="6" w:tplc="0405000F" w:tentative="1">
      <w:start w:val="1"/>
      <w:numFmt w:val="decimal"/>
      <w:lvlText w:val="%7."/>
      <w:lvlJc w:val="left"/>
      <w:pPr>
        <w:ind w:left="4740" w:hanging="360"/>
      </w:pPr>
    </w:lvl>
    <w:lvl w:ilvl="7" w:tplc="04050019" w:tentative="1">
      <w:start w:val="1"/>
      <w:numFmt w:val="lowerLetter"/>
      <w:lvlText w:val="%8."/>
      <w:lvlJc w:val="left"/>
      <w:pPr>
        <w:ind w:left="5460" w:hanging="360"/>
      </w:pPr>
    </w:lvl>
    <w:lvl w:ilvl="8" w:tplc="0405001B" w:tentative="1">
      <w:start w:val="1"/>
      <w:numFmt w:val="lowerRoman"/>
      <w:lvlText w:val="%9."/>
      <w:lvlJc w:val="right"/>
      <w:pPr>
        <w:ind w:left="6180" w:hanging="180"/>
      </w:pPr>
    </w:lvl>
  </w:abstractNum>
  <w:abstractNum w:abstractNumId="2">
    <w:nsid w:val="27040D9D"/>
    <w:multiLevelType w:val="hybridMultilevel"/>
    <w:tmpl w:val="E4C270DC"/>
    <w:lvl w:ilvl="0" w:tplc="4C1673FC">
      <w:start w:val="1"/>
      <w:numFmt w:val="lowerLetter"/>
      <w:lvlText w:val="(%1)"/>
      <w:lvlJc w:val="left"/>
      <w:pPr>
        <w:ind w:left="1500" w:hanging="360"/>
      </w:pPr>
      <w:rPr>
        <w:rFonts w:hint="default"/>
      </w:rPr>
    </w:lvl>
    <w:lvl w:ilvl="1" w:tplc="04050019" w:tentative="1">
      <w:start w:val="1"/>
      <w:numFmt w:val="lowerLetter"/>
      <w:lvlText w:val="%2."/>
      <w:lvlJc w:val="left"/>
      <w:pPr>
        <w:ind w:left="2220" w:hanging="360"/>
      </w:pPr>
    </w:lvl>
    <w:lvl w:ilvl="2" w:tplc="0405001B" w:tentative="1">
      <w:start w:val="1"/>
      <w:numFmt w:val="lowerRoman"/>
      <w:lvlText w:val="%3."/>
      <w:lvlJc w:val="right"/>
      <w:pPr>
        <w:ind w:left="2940" w:hanging="180"/>
      </w:pPr>
    </w:lvl>
    <w:lvl w:ilvl="3" w:tplc="0405000F" w:tentative="1">
      <w:start w:val="1"/>
      <w:numFmt w:val="decimal"/>
      <w:lvlText w:val="%4."/>
      <w:lvlJc w:val="left"/>
      <w:pPr>
        <w:ind w:left="3660" w:hanging="360"/>
      </w:pPr>
    </w:lvl>
    <w:lvl w:ilvl="4" w:tplc="04050019" w:tentative="1">
      <w:start w:val="1"/>
      <w:numFmt w:val="lowerLetter"/>
      <w:lvlText w:val="%5."/>
      <w:lvlJc w:val="left"/>
      <w:pPr>
        <w:ind w:left="4380" w:hanging="360"/>
      </w:pPr>
    </w:lvl>
    <w:lvl w:ilvl="5" w:tplc="0405001B" w:tentative="1">
      <w:start w:val="1"/>
      <w:numFmt w:val="lowerRoman"/>
      <w:lvlText w:val="%6."/>
      <w:lvlJc w:val="right"/>
      <w:pPr>
        <w:ind w:left="5100" w:hanging="180"/>
      </w:pPr>
    </w:lvl>
    <w:lvl w:ilvl="6" w:tplc="0405000F" w:tentative="1">
      <w:start w:val="1"/>
      <w:numFmt w:val="decimal"/>
      <w:lvlText w:val="%7."/>
      <w:lvlJc w:val="left"/>
      <w:pPr>
        <w:ind w:left="5820" w:hanging="360"/>
      </w:pPr>
    </w:lvl>
    <w:lvl w:ilvl="7" w:tplc="04050019" w:tentative="1">
      <w:start w:val="1"/>
      <w:numFmt w:val="lowerLetter"/>
      <w:lvlText w:val="%8."/>
      <w:lvlJc w:val="left"/>
      <w:pPr>
        <w:ind w:left="6540" w:hanging="360"/>
      </w:pPr>
    </w:lvl>
    <w:lvl w:ilvl="8" w:tplc="0405001B" w:tentative="1">
      <w:start w:val="1"/>
      <w:numFmt w:val="lowerRoman"/>
      <w:lvlText w:val="%9."/>
      <w:lvlJc w:val="right"/>
      <w:pPr>
        <w:ind w:left="7260" w:hanging="180"/>
      </w:pPr>
    </w:lvl>
  </w:abstractNum>
  <w:abstractNum w:abstractNumId="3">
    <w:nsid w:val="2E541793"/>
    <w:multiLevelType w:val="hybridMultilevel"/>
    <w:tmpl w:val="D8469558"/>
    <w:lvl w:ilvl="0" w:tplc="E79E54BA">
      <w:start w:val="1"/>
      <w:numFmt w:val="lowerLetter"/>
      <w:lvlText w:val="(%1)"/>
      <w:lvlJc w:val="left"/>
      <w:pPr>
        <w:ind w:left="1211" w:hanging="360"/>
      </w:pPr>
      <w:rPr>
        <w:rFonts w:hint="default"/>
      </w:rPr>
    </w:lvl>
    <w:lvl w:ilvl="1" w:tplc="04050019" w:tentative="1">
      <w:start w:val="1"/>
      <w:numFmt w:val="lowerLetter"/>
      <w:lvlText w:val="%2."/>
      <w:lvlJc w:val="left"/>
      <w:pPr>
        <w:ind w:left="1140" w:hanging="360"/>
      </w:pPr>
    </w:lvl>
    <w:lvl w:ilvl="2" w:tplc="0405001B" w:tentative="1">
      <w:start w:val="1"/>
      <w:numFmt w:val="lowerRoman"/>
      <w:lvlText w:val="%3."/>
      <w:lvlJc w:val="right"/>
      <w:pPr>
        <w:ind w:left="1860" w:hanging="180"/>
      </w:pPr>
    </w:lvl>
    <w:lvl w:ilvl="3" w:tplc="0405000F" w:tentative="1">
      <w:start w:val="1"/>
      <w:numFmt w:val="decimal"/>
      <w:lvlText w:val="%4."/>
      <w:lvlJc w:val="left"/>
      <w:pPr>
        <w:ind w:left="2580" w:hanging="360"/>
      </w:pPr>
    </w:lvl>
    <w:lvl w:ilvl="4" w:tplc="04050019" w:tentative="1">
      <w:start w:val="1"/>
      <w:numFmt w:val="lowerLetter"/>
      <w:lvlText w:val="%5."/>
      <w:lvlJc w:val="left"/>
      <w:pPr>
        <w:ind w:left="3300" w:hanging="360"/>
      </w:pPr>
    </w:lvl>
    <w:lvl w:ilvl="5" w:tplc="0405001B" w:tentative="1">
      <w:start w:val="1"/>
      <w:numFmt w:val="lowerRoman"/>
      <w:lvlText w:val="%6."/>
      <w:lvlJc w:val="right"/>
      <w:pPr>
        <w:ind w:left="4020" w:hanging="180"/>
      </w:pPr>
    </w:lvl>
    <w:lvl w:ilvl="6" w:tplc="0405000F" w:tentative="1">
      <w:start w:val="1"/>
      <w:numFmt w:val="decimal"/>
      <w:lvlText w:val="%7."/>
      <w:lvlJc w:val="left"/>
      <w:pPr>
        <w:ind w:left="4740" w:hanging="360"/>
      </w:pPr>
    </w:lvl>
    <w:lvl w:ilvl="7" w:tplc="04050019" w:tentative="1">
      <w:start w:val="1"/>
      <w:numFmt w:val="lowerLetter"/>
      <w:lvlText w:val="%8."/>
      <w:lvlJc w:val="left"/>
      <w:pPr>
        <w:ind w:left="5460" w:hanging="360"/>
      </w:pPr>
    </w:lvl>
    <w:lvl w:ilvl="8" w:tplc="0405001B" w:tentative="1">
      <w:start w:val="1"/>
      <w:numFmt w:val="lowerRoman"/>
      <w:lvlText w:val="%9."/>
      <w:lvlJc w:val="right"/>
      <w:pPr>
        <w:ind w:left="6180" w:hanging="180"/>
      </w:pPr>
    </w:lvl>
  </w:abstractNum>
  <w:abstractNum w:abstractNumId="4">
    <w:nsid w:val="386F4C4F"/>
    <w:multiLevelType w:val="hybridMultilevel"/>
    <w:tmpl w:val="E968FF8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nsid w:val="40FE12C2"/>
    <w:multiLevelType w:val="hybridMultilevel"/>
    <w:tmpl w:val="804675BC"/>
    <w:lvl w:ilvl="0" w:tplc="F3E4261C">
      <w:start w:val="2"/>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nsid w:val="557410E8"/>
    <w:multiLevelType w:val="hybridMultilevel"/>
    <w:tmpl w:val="E4C270DC"/>
    <w:lvl w:ilvl="0" w:tplc="4C1673FC">
      <w:start w:val="1"/>
      <w:numFmt w:val="lowerLetter"/>
      <w:lvlText w:val="(%1)"/>
      <w:lvlJc w:val="left"/>
      <w:pPr>
        <w:ind w:left="1500" w:hanging="360"/>
      </w:pPr>
      <w:rPr>
        <w:rFonts w:hint="default"/>
      </w:rPr>
    </w:lvl>
    <w:lvl w:ilvl="1" w:tplc="04050019" w:tentative="1">
      <w:start w:val="1"/>
      <w:numFmt w:val="lowerLetter"/>
      <w:lvlText w:val="%2."/>
      <w:lvlJc w:val="left"/>
      <w:pPr>
        <w:ind w:left="2220" w:hanging="360"/>
      </w:pPr>
    </w:lvl>
    <w:lvl w:ilvl="2" w:tplc="0405001B" w:tentative="1">
      <w:start w:val="1"/>
      <w:numFmt w:val="lowerRoman"/>
      <w:lvlText w:val="%3."/>
      <w:lvlJc w:val="right"/>
      <w:pPr>
        <w:ind w:left="2940" w:hanging="180"/>
      </w:pPr>
    </w:lvl>
    <w:lvl w:ilvl="3" w:tplc="0405000F" w:tentative="1">
      <w:start w:val="1"/>
      <w:numFmt w:val="decimal"/>
      <w:lvlText w:val="%4."/>
      <w:lvlJc w:val="left"/>
      <w:pPr>
        <w:ind w:left="3660" w:hanging="360"/>
      </w:pPr>
    </w:lvl>
    <w:lvl w:ilvl="4" w:tplc="04050019" w:tentative="1">
      <w:start w:val="1"/>
      <w:numFmt w:val="lowerLetter"/>
      <w:lvlText w:val="%5."/>
      <w:lvlJc w:val="left"/>
      <w:pPr>
        <w:ind w:left="4380" w:hanging="360"/>
      </w:pPr>
    </w:lvl>
    <w:lvl w:ilvl="5" w:tplc="0405001B" w:tentative="1">
      <w:start w:val="1"/>
      <w:numFmt w:val="lowerRoman"/>
      <w:lvlText w:val="%6."/>
      <w:lvlJc w:val="right"/>
      <w:pPr>
        <w:ind w:left="5100" w:hanging="180"/>
      </w:pPr>
    </w:lvl>
    <w:lvl w:ilvl="6" w:tplc="0405000F" w:tentative="1">
      <w:start w:val="1"/>
      <w:numFmt w:val="decimal"/>
      <w:lvlText w:val="%7."/>
      <w:lvlJc w:val="left"/>
      <w:pPr>
        <w:ind w:left="5820" w:hanging="360"/>
      </w:pPr>
    </w:lvl>
    <w:lvl w:ilvl="7" w:tplc="04050019" w:tentative="1">
      <w:start w:val="1"/>
      <w:numFmt w:val="lowerLetter"/>
      <w:lvlText w:val="%8."/>
      <w:lvlJc w:val="left"/>
      <w:pPr>
        <w:ind w:left="6540" w:hanging="360"/>
      </w:pPr>
    </w:lvl>
    <w:lvl w:ilvl="8" w:tplc="0405001B" w:tentative="1">
      <w:start w:val="1"/>
      <w:numFmt w:val="lowerRoman"/>
      <w:lvlText w:val="%9."/>
      <w:lvlJc w:val="right"/>
      <w:pPr>
        <w:ind w:left="7260" w:hanging="180"/>
      </w:pPr>
    </w:lvl>
  </w:abstractNum>
  <w:abstractNum w:abstractNumId="7">
    <w:nsid w:val="57116002"/>
    <w:multiLevelType w:val="hybridMultilevel"/>
    <w:tmpl w:val="D8469558"/>
    <w:lvl w:ilvl="0" w:tplc="E79E54BA">
      <w:start w:val="1"/>
      <w:numFmt w:val="lowerLetter"/>
      <w:lvlText w:val="(%1)"/>
      <w:lvlJc w:val="left"/>
      <w:pPr>
        <w:ind w:left="1211" w:hanging="360"/>
      </w:pPr>
      <w:rPr>
        <w:rFonts w:hint="default"/>
      </w:rPr>
    </w:lvl>
    <w:lvl w:ilvl="1" w:tplc="04050019" w:tentative="1">
      <w:start w:val="1"/>
      <w:numFmt w:val="lowerLetter"/>
      <w:lvlText w:val="%2."/>
      <w:lvlJc w:val="left"/>
      <w:pPr>
        <w:ind w:left="1140" w:hanging="360"/>
      </w:pPr>
    </w:lvl>
    <w:lvl w:ilvl="2" w:tplc="0405001B" w:tentative="1">
      <w:start w:val="1"/>
      <w:numFmt w:val="lowerRoman"/>
      <w:lvlText w:val="%3."/>
      <w:lvlJc w:val="right"/>
      <w:pPr>
        <w:ind w:left="1860" w:hanging="180"/>
      </w:pPr>
    </w:lvl>
    <w:lvl w:ilvl="3" w:tplc="0405000F" w:tentative="1">
      <w:start w:val="1"/>
      <w:numFmt w:val="decimal"/>
      <w:lvlText w:val="%4."/>
      <w:lvlJc w:val="left"/>
      <w:pPr>
        <w:ind w:left="2580" w:hanging="360"/>
      </w:pPr>
    </w:lvl>
    <w:lvl w:ilvl="4" w:tplc="04050019" w:tentative="1">
      <w:start w:val="1"/>
      <w:numFmt w:val="lowerLetter"/>
      <w:lvlText w:val="%5."/>
      <w:lvlJc w:val="left"/>
      <w:pPr>
        <w:ind w:left="3300" w:hanging="360"/>
      </w:pPr>
    </w:lvl>
    <w:lvl w:ilvl="5" w:tplc="0405001B" w:tentative="1">
      <w:start w:val="1"/>
      <w:numFmt w:val="lowerRoman"/>
      <w:lvlText w:val="%6."/>
      <w:lvlJc w:val="right"/>
      <w:pPr>
        <w:ind w:left="4020" w:hanging="180"/>
      </w:pPr>
    </w:lvl>
    <w:lvl w:ilvl="6" w:tplc="0405000F" w:tentative="1">
      <w:start w:val="1"/>
      <w:numFmt w:val="decimal"/>
      <w:lvlText w:val="%7."/>
      <w:lvlJc w:val="left"/>
      <w:pPr>
        <w:ind w:left="4740" w:hanging="360"/>
      </w:pPr>
    </w:lvl>
    <w:lvl w:ilvl="7" w:tplc="04050019" w:tentative="1">
      <w:start w:val="1"/>
      <w:numFmt w:val="lowerLetter"/>
      <w:lvlText w:val="%8."/>
      <w:lvlJc w:val="left"/>
      <w:pPr>
        <w:ind w:left="5460" w:hanging="360"/>
      </w:pPr>
    </w:lvl>
    <w:lvl w:ilvl="8" w:tplc="0405001B" w:tentative="1">
      <w:start w:val="1"/>
      <w:numFmt w:val="lowerRoman"/>
      <w:lvlText w:val="%9."/>
      <w:lvlJc w:val="right"/>
      <w:pPr>
        <w:ind w:left="6180" w:hanging="180"/>
      </w:pPr>
    </w:lvl>
  </w:abstractNum>
  <w:abstractNum w:abstractNumId="8">
    <w:nsid w:val="73B2431C"/>
    <w:multiLevelType w:val="hybridMultilevel"/>
    <w:tmpl w:val="E75E9686"/>
    <w:lvl w:ilvl="0" w:tplc="B9360682">
      <w:start w:val="1"/>
      <w:numFmt w:val="lowerLetter"/>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num w:numId="1">
    <w:abstractNumId w:val="0"/>
  </w:num>
  <w:num w:numId="2">
    <w:abstractNumId w:val="2"/>
  </w:num>
  <w:num w:numId="3">
    <w:abstractNumId w:val="6"/>
  </w:num>
  <w:num w:numId="4">
    <w:abstractNumId w:val="4"/>
  </w:num>
  <w:num w:numId="5">
    <w:abstractNumId w:val="5"/>
  </w:num>
  <w:num w:numId="6">
    <w:abstractNumId w:val="8"/>
  </w:num>
  <w:num w:numId="7">
    <w:abstractNumId w:val="1"/>
  </w:num>
  <w:num w:numId="8">
    <w:abstractNumId w:val="3"/>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2F59"/>
    <w:rsid w:val="00081525"/>
    <w:rsid w:val="0031484D"/>
    <w:rsid w:val="00377F61"/>
    <w:rsid w:val="003B38C4"/>
    <w:rsid w:val="004530E0"/>
    <w:rsid w:val="005912A4"/>
    <w:rsid w:val="00627485"/>
    <w:rsid w:val="006302CB"/>
    <w:rsid w:val="007E2F59"/>
    <w:rsid w:val="009560A4"/>
    <w:rsid w:val="009C0FB5"/>
    <w:rsid w:val="009C7076"/>
    <w:rsid w:val="00A321DB"/>
    <w:rsid w:val="00AC7171"/>
    <w:rsid w:val="00BD1D3B"/>
    <w:rsid w:val="00BF28D6"/>
    <w:rsid w:val="00CB676E"/>
    <w:rsid w:val="00DF51D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0CBB079-8CDC-2E41-92C6-C674299E4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cs-CZ"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rsid w:val="007E2F59"/>
    <w:pPr>
      <w:spacing w:before="120" w:after="120"/>
      <w:jc w:val="both"/>
    </w:pPr>
    <w:rPr>
      <w:rFonts w:ascii="Times New Roman" w:eastAsia="Times New Roman" w:hAnsi="Times New Roman" w:cs="Times New Roman"/>
      <w:sz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poznpodarou">
    <w:name w:val="footnote text"/>
    <w:aliases w:val="fn"/>
    <w:basedOn w:val="Normln"/>
    <w:link w:val="TextpoznpodarouChar"/>
    <w:uiPriority w:val="99"/>
    <w:rsid w:val="007E2F59"/>
    <w:rPr>
      <w:sz w:val="18"/>
      <w:szCs w:val="20"/>
    </w:rPr>
  </w:style>
  <w:style w:type="character" w:customStyle="1" w:styleId="TextpoznpodarouChar">
    <w:name w:val="Text pozn. pod čarou Char"/>
    <w:aliases w:val="fn Char"/>
    <w:basedOn w:val="Standardnpsmoodstavce"/>
    <w:link w:val="Textpoznpodarou"/>
    <w:uiPriority w:val="99"/>
    <w:rsid w:val="007E2F59"/>
    <w:rPr>
      <w:rFonts w:ascii="Times New Roman" w:eastAsia="Times New Roman" w:hAnsi="Times New Roman" w:cs="Times New Roman"/>
      <w:sz w:val="18"/>
      <w:szCs w:val="20"/>
    </w:rPr>
  </w:style>
  <w:style w:type="character" w:styleId="Znakapoznpodarou">
    <w:name w:val="footnote reference"/>
    <w:basedOn w:val="Standardnpsmoodstavce"/>
    <w:uiPriority w:val="99"/>
    <w:rsid w:val="007E2F59"/>
    <w:rPr>
      <w:vertAlign w:val="superscript"/>
    </w:rPr>
  </w:style>
  <w:style w:type="paragraph" w:styleId="Zpat">
    <w:name w:val="footer"/>
    <w:basedOn w:val="Normln"/>
    <w:link w:val="ZpatChar"/>
    <w:semiHidden/>
    <w:rsid w:val="007E2F59"/>
    <w:pPr>
      <w:tabs>
        <w:tab w:val="center" w:pos="4703"/>
        <w:tab w:val="right" w:pos="9406"/>
      </w:tabs>
    </w:pPr>
    <w:rPr>
      <w:sz w:val="20"/>
    </w:rPr>
  </w:style>
  <w:style w:type="character" w:customStyle="1" w:styleId="ZpatChar">
    <w:name w:val="Zápatí Char"/>
    <w:basedOn w:val="Standardnpsmoodstavce"/>
    <w:link w:val="Zpat"/>
    <w:semiHidden/>
    <w:rsid w:val="007E2F59"/>
    <w:rPr>
      <w:rFonts w:ascii="Times New Roman" w:eastAsia="Times New Roman" w:hAnsi="Times New Roman" w:cs="Times New Roman"/>
      <w:sz w:val="20"/>
    </w:rPr>
  </w:style>
  <w:style w:type="character" w:styleId="slostrnky">
    <w:name w:val="page number"/>
    <w:basedOn w:val="Standardnpsmoodstavce"/>
    <w:semiHidden/>
    <w:rsid w:val="007E2F59"/>
  </w:style>
  <w:style w:type="paragraph" w:styleId="Odstavecseseznamem">
    <w:name w:val="List Paragraph"/>
    <w:basedOn w:val="Normln"/>
    <w:uiPriority w:val="34"/>
    <w:qFormat/>
    <w:rsid w:val="007E2F5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8620D5B59E9A942A8D51AA38A285469" ma:contentTypeVersion="12" ma:contentTypeDescription="Vytvoří nový dokument" ma:contentTypeScope="" ma:versionID="639465edaa896f2a0af595f701f01817">
  <xsd:schema xmlns:xsd="http://www.w3.org/2001/XMLSchema" xmlns:xs="http://www.w3.org/2001/XMLSchema" xmlns:p="http://schemas.microsoft.com/office/2006/metadata/properties" xmlns:ns2="c8dbb6ab-35e3-4a5a-b91c-0c63ad5215b8" xmlns:ns3="cf76a5d1-4e61-40b2-a1cd-be5592cd1156" targetNamespace="http://schemas.microsoft.com/office/2006/metadata/properties" ma:root="true" ma:fieldsID="bc839a165b5b79da21a4a3e4bb6bfea3" ns2:_="" ns3:_="">
    <xsd:import namespace="c8dbb6ab-35e3-4a5a-b91c-0c63ad5215b8"/>
    <xsd:import namespace="cf76a5d1-4e61-40b2-a1cd-be5592cd115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dbb6ab-35e3-4a5a-b91c-0c63ad5215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f76a5d1-4e61-40b2-a1cd-be5592cd1156" elementFormDefault="qualified">
    <xsd:import namespace="http://schemas.microsoft.com/office/2006/documentManagement/types"/>
    <xsd:import namespace="http://schemas.microsoft.com/office/infopath/2007/PartnerControls"/>
    <xsd:element name="SharedWithUsers" ma:index="13"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6112F3-2A4F-4A95-9963-1C67B70AF4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dbb6ab-35e3-4a5a-b91c-0c63ad5215b8"/>
    <ds:schemaRef ds:uri="cf76a5d1-4e61-40b2-a1cd-be5592cd11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BC94DC-927E-4C62-A8FB-D2AA225E59C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EBBE7CF-B59B-4A68-8692-09AD635BA0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3105</Words>
  <Characters>18322</Characters>
  <Application>Microsoft Office Word</Application>
  <DocSecurity>0</DocSecurity>
  <Lines>152</Lines>
  <Paragraphs>42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21385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Uživatel Microsoft Office</dc:creator>
  <cp:keywords/>
  <dc:description/>
  <cp:lastModifiedBy>Vrbka Boris</cp:lastModifiedBy>
  <cp:revision>5</cp:revision>
  <dcterms:created xsi:type="dcterms:W3CDTF">2019-10-25T16:29:00Z</dcterms:created>
  <dcterms:modified xsi:type="dcterms:W3CDTF">2020-07-28T07:40:00Z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0x010100D8620D5B59E9A942A8D51AA38A285469</vt:lpwstr>
  </property>
</Properties>
</file>